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0E6E96"/>
          <w:sz w:val="40"/>
          <w:szCs w:val="40"/>
        </w:rPr>
        <w:t xml:space="preserve">DISCOURS DE SOUTENANCE</w:t>
      </w:r>
    </w:p>
    <w:p>
      <w:pPr>
        <w:spacing w:after="600"/>
        <w:jc w:val="center"/>
      </w:pPr>
      <w:r>
        <w:rPr>
          <w:rFonts w:ascii="Times New Roman" w:cs="Times New Roman" w:eastAsia="Times New Roman" w:hAnsi="Times New Roman"/>
          <w:i/>
          <w:iCs/>
          <w:sz w:val="28"/>
          <w:szCs w:val="28"/>
        </w:rPr>
        <w:t xml:space="preserve">Impact des transferts de migrants sur la pauvreté multidimensionnelle des enfants au Sénégal</w:t>
      </w:r>
    </w:p>
    <w:p>
      <w:pPr>
        <w:spacing w:after="120"/>
        <w:jc w:val="center"/>
      </w:pPr>
      <w:r>
        <w:rPr>
          <w:rFonts w:ascii="Times New Roman" w:cs="Times New Roman" w:eastAsia="Times New Roman" w:hAnsi="Times New Roman"/>
          <w:b/>
          <w:bCs/>
          <w:sz w:val="26"/>
          <w:szCs w:val="26"/>
        </w:rPr>
        <w:t xml:space="preserve">Sié Rachid TRAORÉ</w:t>
      </w:r>
    </w:p>
    <w:p>
      <w:pPr>
        <w:spacing w:after="120"/>
        <w:jc w:val="center"/>
      </w:pPr>
      <w:r>
        <w:rPr>
          <w:rFonts w:ascii="Times New Roman" w:cs="Times New Roman" w:eastAsia="Times New Roman" w:hAnsi="Times New Roman"/>
          <w:sz w:val="24"/>
          <w:szCs w:val="24"/>
        </w:rPr>
        <w:t xml:space="preserve">Sous la direction de Mamadou Abdoulaye DIALLO</w:t>
      </w:r>
    </w:p>
    <w:p>
      <w:pPr>
        <w:spacing w:after="800"/>
        <w:jc w:val="center"/>
      </w:pPr>
      <w:r>
        <w:rPr>
          <w:rFonts w:ascii="Times New Roman" w:cs="Times New Roman" w:eastAsia="Times New Roman" w:hAnsi="Times New Roman"/>
          <w:color w:val="6E747E"/>
          <w:sz w:val="24"/>
          <w:szCs w:val="24"/>
        </w:rPr>
        <w:t xml:space="preserve">ENSAE Pierre Ndiaye  ·  Août 2026</w:t>
      </w:r>
    </w:p>
    <w:p>
      <w:pPr>
        <w:spacing w:after="120"/>
        <w:jc w:val="center"/>
      </w:pPr>
      <w:r>
        <w:rPr>
          <w:rFonts w:ascii="Times New Roman" w:cs="Times New Roman" w:eastAsia="Times New Roman" w:hAnsi="Times New Roman"/>
          <w:i/>
          <w:iCs/>
          <w:color w:val="6E747E"/>
          <w:sz w:val="22"/>
          <w:szCs w:val="22"/>
        </w:rPr>
        <w:t xml:space="preserve">Durée visée : 18 minutes  ·  30 diapositives</w:t>
      </w:r>
    </w:p>
    <w:p>
      <w:pPr>
        <w:pageBreakBefore/>
      </w:pPr>
      <w:r>
        <w:br/>
        <w:t xml:space="preserve"/>
      </w:r>
    </w:p>
    <w:p>
      <w:pPr>
        <w:pStyle w:val="Heading1"/>
        <w:spacing w:after="200" w:before="400"/>
      </w:pPr>
      <w:r>
        <w:rPr>
          <w:rFonts w:ascii="Times New Roman" w:cs="Times New Roman" w:eastAsia="Times New Roman" w:hAnsi="Times New Roman"/>
          <w:b/>
          <w:bCs/>
          <w:color w:val="0E6E96"/>
          <w:sz w:val="30"/>
          <w:szCs w:val="30"/>
        </w:rPr>
        <w:t xml:space="preserve">Ouverture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de titre</w:t>
      </w:r>
      <w:r>
        <w:rPr>
          <w:rFonts w:ascii="Times New Roman" w:cs="Times New Roman" w:eastAsia="Times New Roman" w:hAnsi="Times New Roman"/>
          <w:color w:val="6E747E"/>
          <w:sz w:val="20"/>
          <w:szCs w:val="20"/>
        </w:rPr>
        <w:t xml:space="preserve">  ·  Page de garde</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Monsieur le Président du jury, Madame et Messieurs les membres du jury, Monsieur le Directeur de mémoire, mesdames et messieurs, bonjour.</w:t>
      </w:r>
    </w:p>
    <w:p>
      <w:pPr>
        <w:spacing w:after="160" w:line="360"/>
        <w:jc w:val="both"/>
      </w:pPr>
      <w:r>
        <w:rPr>
          <w:rFonts w:ascii="Times New Roman" w:cs="Times New Roman" w:eastAsia="Times New Roman" w:hAnsi="Times New Roman"/>
          <w:sz w:val="24"/>
          <w:szCs w:val="24"/>
        </w:rPr>
        <w:t xml:space="preserve">Je vous remercie de votre présence. Je vais vous présenter les résultats de mon mémoire de fin d'études, consacré à l'impact des transferts de migrants sur la pauvreté multidimensionnelle des enfants au Sénégal. Ce travail a été mené sous la direction de Monsieur Mamadou Abdoulaye Diallo, que je remercie pour son accompagnement.</w:t>
      </w:r>
    </w:p>
    <w:p>
      <w:pPr>
        <w:spacing w:after="160"/>
        <w:ind w:left="340"/>
      </w:pPr>
      <w:r>
        <w:rPr>
          <w:rFonts w:ascii="Times New Roman" w:cs="Times New Roman" w:eastAsia="Times New Roman" w:hAnsi="Times New Roman"/>
          <w:i/>
          <w:iCs/>
          <w:color w:val="6E747E"/>
          <w:sz w:val="22"/>
          <w:szCs w:val="22"/>
        </w:rPr>
        <w:t xml:space="preserve">Marquer un temps. Passer à la diapositive du plan.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w:t>
      </w:r>
      <w:r>
        <w:rPr>
          <w:rFonts w:ascii="Times New Roman" w:cs="Times New Roman" w:eastAsia="Times New Roman" w:hAnsi="Times New Roman"/>
          <w:color w:val="6E747E"/>
          <w:sz w:val="20"/>
          <w:szCs w:val="20"/>
        </w:rPr>
        <w:t xml:space="preserve">  ·  Plan de la présentation</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Mon exposé suivra six temps. Je poserai d'abord le contexte et la question de recherche. Je situerai ensuite le travail dans la littérature. Je présenterai le cadre méthodologique, c'est-à-dire les données, la mesure de la pauvreté et la stratégie d'identification. Viendront alors les résultats, puis leur mise à l'épreuve et leur interprétation. Je terminerai par la conclusion et les recommandations.</w:t>
      </w:r>
    </w:p>
    <w:p>
      <w:pPr>
        <w:pStyle w:val="Heading1"/>
        <w:spacing w:after="200" w:before="400"/>
      </w:pPr>
      <w:r>
        <w:rPr>
          <w:rFonts w:ascii="Times New Roman" w:cs="Times New Roman" w:eastAsia="Times New Roman" w:hAnsi="Times New Roman"/>
          <w:b/>
          <w:bCs/>
          <w:color w:val="0E6E96"/>
          <w:sz w:val="30"/>
          <w:szCs w:val="30"/>
        </w:rPr>
        <w:t xml:space="preserve">Premier temps · Contexte et problématique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w:t>
      </w:r>
      <w:r>
        <w:rPr>
          <w:rFonts w:ascii="Times New Roman" w:cs="Times New Roman" w:eastAsia="Times New Roman" w:hAnsi="Times New Roman"/>
          <w:color w:val="6E747E"/>
          <w:sz w:val="20"/>
          <w:szCs w:val="20"/>
        </w:rPr>
        <w:t xml:space="preserve">  ·  Contexte général</w:t>
      </w:r>
      <w:r>
        <w:rPr>
          <w:rFonts w:ascii="Times New Roman" w:cs="Times New Roman" w:eastAsia="Times New Roman" w:hAnsi="Times New Roman"/>
          <w:color w:val="6E747E"/>
          <w:sz w:val="20"/>
          <w:szCs w:val="20"/>
        </w:rPr>
        <w:t xml:space="preserve">	2 min</w:t>
      </w:r>
    </w:p>
    <w:p>
      <w:pPr>
        <w:spacing w:after="160" w:line="360"/>
        <w:jc w:val="both"/>
      </w:pPr>
      <w:r>
        <w:rPr>
          <w:rFonts w:ascii="Times New Roman" w:cs="Times New Roman" w:eastAsia="Times New Roman" w:hAnsi="Times New Roman"/>
          <w:sz w:val="24"/>
          <w:szCs w:val="24"/>
        </w:rPr>
        <w:t xml:space="preserve">Deux réalités coexistent au Sénégal, et c'est de leur rencontre que naît ce travail.</w:t>
      </w:r>
    </w:p>
    <w:p>
      <w:pPr>
        <w:spacing w:after="160" w:line="360"/>
        <w:jc w:val="both"/>
      </w:pPr>
      <w:r>
        <w:rPr>
          <w:rFonts w:ascii="Times New Roman" w:cs="Times New Roman" w:eastAsia="Times New Roman" w:hAnsi="Times New Roman"/>
          <w:sz w:val="24"/>
          <w:szCs w:val="24"/>
        </w:rPr>
        <w:t xml:space="preserve">La première est financière. Les transferts reçus de la diaspora sont passés de 233 millions de dollars en 2000 à 2 220 millions en 2017, soit de 166 à 1 242 milliards de francs CFA. Ils représentent 12,1 pour cent du produit intérieur brut, ce qui place le Sénégal au quatrième rang des récepteurs d'Afrique subsaharienne. Rapportés au ménage, les montants reçus avoisinent le seuil de pauvreté monétaire annuel par tête : il ne s'agit donc pas d'un appoint marginal, mais d'une ressource qui peut, en théorie, changer les conditions de vie.</w:t>
      </w:r>
    </w:p>
    <w:p>
      <w:pPr>
        <w:spacing w:after="160" w:line="360"/>
        <w:jc w:val="both"/>
      </w:pPr>
      <w:r>
        <w:rPr>
          <w:rFonts w:ascii="Times New Roman" w:cs="Times New Roman" w:eastAsia="Times New Roman" w:hAnsi="Times New Roman"/>
          <w:sz w:val="24"/>
          <w:szCs w:val="24"/>
        </w:rPr>
        <w:t xml:space="preserve">La seconde réalité est celle des enfants. En 2018, 50,7 pour cent des enfants de 0 à 17 ans étaient privés dans au moins quatre des sept domaines de leur bien-être : l'éducation, la santé, la nutrition, l'eau, l'assainissement, le logement et la protection. Ces manques échappent largement aux mesures fondées sur le seul revenu du ménage. Un enfant peut vivre dans un ménage situé au-dessus du seuil monétaire et rester déscolarisé, ou boire une eau non potable.</w:t>
      </w:r>
    </w:p>
    <w:p>
      <w:pPr>
        <w:spacing w:after="160"/>
        <w:ind w:left="340"/>
      </w:pPr>
      <w:r>
        <w:rPr>
          <w:rFonts w:ascii="Times New Roman" w:cs="Times New Roman" w:eastAsia="Times New Roman" w:hAnsi="Times New Roman"/>
          <w:i/>
          <w:iCs/>
          <w:color w:val="6E747E"/>
          <w:sz w:val="22"/>
          <w:szCs w:val="22"/>
        </w:rPr>
        <w:t xml:space="preserve">Insister sur le contraste entre les deux blocs avant d'enchaîner.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3</w:t>
      </w:r>
      <w:r>
        <w:rPr>
          <w:rFonts w:ascii="Times New Roman" w:cs="Times New Roman" w:eastAsia="Times New Roman" w:hAnsi="Times New Roman"/>
          <w:color w:val="6E747E"/>
          <w:sz w:val="20"/>
          <w:szCs w:val="20"/>
        </w:rPr>
        <w:t xml:space="preserve">  ·  Problématique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D'où la question qui structure ce mémoire : dans quelle mesure les transferts de migrants réduisent-ils la pauvreté multidimensionnelle des enfants au Sénégal ?</w:t>
      </w:r>
    </w:p>
    <w:p>
      <w:pPr>
        <w:spacing w:after="160" w:line="360"/>
        <w:jc w:val="both"/>
      </w:pPr>
      <w:r>
        <w:rPr>
          <w:rFonts w:ascii="Times New Roman" w:cs="Times New Roman" w:eastAsia="Times New Roman" w:hAnsi="Times New Roman"/>
          <w:sz w:val="24"/>
          <w:szCs w:val="24"/>
        </w:rPr>
        <w:t xml:space="preserve">La réponse n'a rien d'évident. Les transferts desserrent la contrainte budgétaire du ménage, mais un supplément de ressources ne se traduit pas mécaniquement par un recul des privations. Et surtout, recevoir des transferts suppose un réseau migratoire : les ménages bénéficiaires diffèrent des autres avant même le premier franc reçu. Toute comparaison directe attribuerait aux transferts des écarts qui leur préexistent.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4</w:t>
      </w:r>
      <w:r>
        <w:rPr>
          <w:rFonts w:ascii="Times New Roman" w:cs="Times New Roman" w:eastAsia="Times New Roman" w:hAnsi="Times New Roman"/>
          <w:color w:val="6E747E"/>
          <w:sz w:val="20"/>
          <w:szCs w:val="20"/>
        </w:rPr>
        <w:t xml:space="preserve">  ·  Objectifs et hypothèses</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L'objectif général est d'évaluer cet impact. Il se décline en deux objectifs spécifiques : construire un indice de pauvreté multidimensionnelle adapté aux enfants sénégalais, puis estimer l'effet des transferts sur cet indice et en analyser l'hétérogénéité.</w:t>
      </w:r>
    </w:p>
    <w:p>
      <w:pPr>
        <w:spacing w:after="160" w:line="360"/>
        <w:jc w:val="both"/>
      </w:pPr>
      <w:r>
        <w:rPr>
          <w:rFonts w:ascii="Times New Roman" w:cs="Times New Roman" w:eastAsia="Times New Roman" w:hAnsi="Times New Roman"/>
          <w:sz w:val="24"/>
          <w:szCs w:val="24"/>
        </w:rPr>
        <w:t xml:space="preserve">Deux hypothèses sont testées. La première, que les transferts réduisent significativement cette pauvreté. La seconde, que leur effet est hétérogène selon les dimensions du bien-être, le milieu de résidence, le genre du chef de ménage, l'âge de l'enfant et le montant reçu.</w:t>
      </w:r>
    </w:p>
    <w:p>
      <w:pPr>
        <w:pStyle w:val="Heading1"/>
        <w:spacing w:after="200" w:before="400"/>
      </w:pPr>
      <w:r>
        <w:rPr>
          <w:rFonts w:ascii="Times New Roman" w:cs="Times New Roman" w:eastAsia="Times New Roman" w:hAnsi="Times New Roman"/>
          <w:b/>
          <w:bCs/>
          <w:color w:val="0E6E96"/>
          <w:sz w:val="30"/>
          <w:szCs w:val="30"/>
        </w:rPr>
        <w:t xml:space="preserve">Deuxième temps · Revue de la littérature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5</w:t>
      </w:r>
      <w:r>
        <w:rPr>
          <w:rFonts w:ascii="Times New Roman" w:cs="Times New Roman" w:eastAsia="Times New Roman" w:hAnsi="Times New Roman"/>
          <w:color w:val="6E747E"/>
          <w:sz w:val="20"/>
          <w:szCs w:val="20"/>
        </w:rPr>
        <w:t xml:space="preserve">  ·  Canaux de transmission</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La littérature apporte trois enseignements.</w:t>
      </w:r>
    </w:p>
    <w:p>
      <w:pPr>
        <w:spacing w:after="160" w:line="360"/>
        <w:jc w:val="both"/>
      </w:pPr>
      <w:r>
        <w:rPr>
          <w:rFonts w:ascii="Times New Roman" w:cs="Times New Roman" w:eastAsia="Times New Roman" w:hAnsi="Times New Roman"/>
          <w:sz w:val="24"/>
          <w:szCs w:val="24"/>
        </w:rPr>
        <w:t xml:space="preserve">Le premier concerne les motivations. Trois familles se dégagent : l'altruisme, où les transferts décroissent avec le revenu du receveur ; l'intérêt personnel et l'échange, où il s'agit de préserver un héritage ou de rembourser la dette du départ ; et la diversification du risque, où les transferts assurent le ménage contre les chocs. Ces motivations importent, parce qu'elles déterminent qui reçoit, combien, et pour quoi.</w:t>
      </w:r>
    </w:p>
    <w:p>
      <w:pPr>
        <w:spacing w:after="160" w:line="360"/>
        <w:jc w:val="both"/>
      </w:pPr>
      <w:r>
        <w:rPr>
          <w:rFonts w:ascii="Times New Roman" w:cs="Times New Roman" w:eastAsia="Times New Roman" w:hAnsi="Times New Roman"/>
          <w:sz w:val="24"/>
          <w:szCs w:val="24"/>
        </w:rPr>
        <w:t xml:space="preserve">Le deuxième porte sur les effets établis. Sur la pauvreté monétaire, le recul est modeste et atténué par les coûts de transaction. Sur l'éducation, la scolarisation progresse. Sur la nutrition, les effets sont fragiles et conditionnels au maintien du lien avec le migrant.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6</w:t>
      </w:r>
      <w:r>
        <w:rPr>
          <w:rFonts w:ascii="Times New Roman" w:cs="Times New Roman" w:eastAsia="Times New Roman" w:hAnsi="Times New Roman"/>
          <w:color w:val="6E747E"/>
          <w:sz w:val="20"/>
          <w:szCs w:val="20"/>
        </w:rPr>
        <w:t xml:space="preserve">  ·  Approche multidimensionnelle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 troisième enseignement est une lacune. Les travaux existants raisonnent le plus souvent au niveau du ménage et sur des indicateurs monétaires. Aucune étude recensée ne combine, en Afrique de l'Ouest, une mesure multidimensionnelle de la pauvreté infantile et une identification sur données de panel. C'est précisément l'espace que ce mémoire occupe.</w:t>
      </w:r>
    </w:p>
    <w:p>
      <w:pPr>
        <w:pStyle w:val="Heading1"/>
        <w:spacing w:after="200" w:before="400"/>
      </w:pPr>
      <w:r>
        <w:rPr>
          <w:rFonts w:ascii="Times New Roman" w:cs="Times New Roman" w:eastAsia="Times New Roman" w:hAnsi="Times New Roman"/>
          <w:b/>
          <w:bCs/>
          <w:color w:val="0E6E96"/>
          <w:sz w:val="30"/>
          <w:szCs w:val="30"/>
        </w:rPr>
        <w:t xml:space="preserve">Troisième temps · Cadre méthodologique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7</w:t>
      </w:r>
      <w:r>
        <w:rPr>
          <w:rFonts w:ascii="Times New Roman" w:cs="Times New Roman" w:eastAsia="Times New Roman" w:hAnsi="Times New Roman"/>
          <w:color w:val="6E747E"/>
          <w:sz w:val="20"/>
          <w:szCs w:val="20"/>
        </w:rPr>
        <w:t xml:space="preserve">  ·  Données EHCVM I et II</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Le travail repose sur les deux vagues de l'Enquête harmonisée sur les conditions de vie des ménages : la première de 2018-2019, la seconde de 2021-2022. Leur appariement donne un panel de 6 127 ménages suivis d'une vague à l'autre.</w:t>
      </w:r>
    </w:p>
    <w:p>
      <w:pPr>
        <w:spacing w:after="160" w:line="360"/>
        <w:jc w:val="both"/>
      </w:pPr>
      <w:r>
        <w:rPr>
          <w:rFonts w:ascii="Times New Roman" w:cs="Times New Roman" w:eastAsia="Times New Roman" w:hAnsi="Times New Roman"/>
          <w:sz w:val="24"/>
          <w:szCs w:val="24"/>
        </w:rPr>
        <w:t xml:space="preserve">L'unité d'analyse n'est pas le ménage mais l'enfant. Grâce à l'identifiant préchargé du questionnaire de 2021, 17 786 enfants de 0 à 17 ans sont suivis individuellement : 2 638 vivaient en 2018 dans un ménage bénéficiaire, 15 148 dans un ménage non bénéficiaire. Le score de propension et l'appariement sont estimés à ce niveau.</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8</w:t>
      </w:r>
      <w:r>
        <w:rPr>
          <w:rFonts w:ascii="Times New Roman" w:cs="Times New Roman" w:eastAsia="Times New Roman" w:hAnsi="Times New Roman"/>
          <w:color w:val="6E747E"/>
          <w:sz w:val="20"/>
          <w:szCs w:val="20"/>
        </w:rPr>
        <w:t xml:space="preserve">  ·  MODA en 7 dimensions</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La pauvreté est mesurée par l'approche MODA, développée par l'UNICEF et reprise par l'ANSD. Sept dimensions du bien-être de l'enfant sont retenues : l'assainissement, l'eau, le logement, la nutrition, la santé, la protection et l'éducation. Elles se déclinent en quatorze indicateurs, appliqués selon trois groupes d'âge : les 0 à 4 ans, les 5 à 14 ans et les 15 à 17 ans.</w:t>
      </w:r>
    </w:p>
    <w:p>
      <w:pPr>
        <w:spacing w:after="160" w:line="360"/>
        <w:jc w:val="both"/>
      </w:pPr>
      <w:r>
        <w:rPr>
          <w:rFonts w:ascii="Times New Roman" w:cs="Times New Roman" w:eastAsia="Times New Roman" w:hAnsi="Times New Roman"/>
          <w:sz w:val="24"/>
          <w:szCs w:val="24"/>
        </w:rPr>
        <w:t xml:space="preserve">Deux seuils interviennent. À l'intérieur d'une dimension, l'enfant est considéré comme privé dès qu'il l'est dans au moins un indicateur. Entre dimensions, il est déclaré pauvre dès qu'il cumule au moins quatre privations sur sept. La matrice complète des indicateurs et de leurs seuils figure en annexe, et je peux y revenir si vous le souhaitez.</w:t>
      </w:r>
    </w:p>
    <w:p>
      <w:pPr>
        <w:spacing w:after="160"/>
        <w:ind w:left="340"/>
      </w:pPr>
      <w:r>
        <w:rPr>
          <w:rFonts w:ascii="Times New Roman" w:cs="Times New Roman" w:eastAsia="Times New Roman" w:hAnsi="Times New Roman"/>
          <w:i/>
          <w:iCs/>
          <w:color w:val="6E747E"/>
          <w:sz w:val="22"/>
          <w:szCs w:val="22"/>
        </w:rPr>
        <w:t xml:space="preserve">Signaler du geste le bouton de renvoi vers l'annexe.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9</w:t>
      </w:r>
      <w:r>
        <w:rPr>
          <w:rFonts w:ascii="Times New Roman" w:cs="Times New Roman" w:eastAsia="Times New Roman" w:hAnsi="Times New Roman"/>
          <w:color w:val="6E747E"/>
          <w:sz w:val="20"/>
          <w:szCs w:val="20"/>
        </w:rPr>
        <w:t xml:space="preserve">  ·  Le problème d'identification</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J'en viens à la stratégie d'identification, qui est le cœur méthodologique du travail.</w:t>
      </w:r>
    </w:p>
    <w:p>
      <w:pPr>
        <w:spacing w:after="160" w:line="360"/>
        <w:jc w:val="both"/>
      </w:pPr>
      <w:r>
        <w:rPr>
          <w:rFonts w:ascii="Times New Roman" w:cs="Times New Roman" w:eastAsia="Times New Roman" w:hAnsi="Times New Roman"/>
          <w:sz w:val="24"/>
          <w:szCs w:val="24"/>
        </w:rPr>
        <w:t xml:space="preserve">Le traitement est défini au niveau du ménage : sont traités les ménages qui reçoivent, en 2018, un transfert d'un expéditeur vivant hors du Sénégal et ayant déjà vécu dans le ménage. Ce statut est figé à la période de base, ce qui garantit qu'il ne dépend pas de l'évolution ultérieure des privations.</w:t>
      </w:r>
    </w:p>
    <w:p>
      <w:pPr>
        <w:spacing w:after="160" w:line="360"/>
        <w:jc w:val="both"/>
      </w:pPr>
      <w:r>
        <w:rPr>
          <w:rFonts w:ascii="Times New Roman" w:cs="Times New Roman" w:eastAsia="Times New Roman" w:hAnsi="Times New Roman"/>
          <w:sz w:val="24"/>
          <w:szCs w:val="24"/>
        </w:rPr>
        <w:t xml:space="preserve">Le paramètre visé est l'effet moyen du traitement sur les traités. Sa difficulté est connue : le contrefactuel, c'est-à-dire ce qu'auraient vécu les enfants bénéficiaires en l'absence de transfert, n'est pas observable. Il faut donc le reconstruire.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10</w:t>
      </w:r>
      <w:r>
        <w:rPr>
          <w:rFonts w:ascii="Times New Roman" w:cs="Times New Roman" w:eastAsia="Times New Roman" w:hAnsi="Times New Roman"/>
          <w:color w:val="6E747E"/>
          <w:sz w:val="20"/>
          <w:szCs w:val="20"/>
        </w:rPr>
        <w:t xml:space="preserve">  ·  Le score de propension</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Première brique, l'appariement par score de propension. Un modèle logit estime, pour chaque enfant, la probabilité de vivre dans un ménage bénéficiaire, à partir des caractéristiques du chef de ménage, de la taille du ménage, de la dépense par tête, du milieu et de la région, ainsi que du genre et de l'âge de l'enfant. Chaque enfant traité est ensuite apparié à ses quatre plus proches voisins, sur le support commun. Cette étape corrige la sélection sur les caractéristiques observables, mais elle laisse subsister tout ce qui ne s'observe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11</w:t>
      </w:r>
      <w:r>
        <w:rPr>
          <w:rFonts w:ascii="Times New Roman" w:cs="Times New Roman" w:eastAsia="Times New Roman" w:hAnsi="Times New Roman"/>
          <w:color w:val="6E747E"/>
          <w:sz w:val="20"/>
          <w:szCs w:val="20"/>
        </w:rPr>
        <w:t xml:space="preserve">  ·  La double différence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Seconde brique, la double différence. Elle compare l'évolution des bénéficiaires entre 2018 et 2021 à celle des témoins sur la même période. Ce faisant, elle élimine tous les déterminants inobservés qui restent stables dans le temps, par exemple les aptitudes du ménage ou son rapport à la scolarisation. Mais prise seule, elle suppose des groupes comparables au départ, ce qui n'est pas le cas ici.</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12</w:t>
      </w:r>
      <w:r>
        <w:rPr>
          <w:rFonts w:ascii="Times New Roman" w:cs="Times New Roman" w:eastAsia="Times New Roman" w:hAnsi="Times New Roman"/>
          <w:color w:val="6E747E"/>
          <w:sz w:val="20"/>
          <w:szCs w:val="20"/>
        </w:rPr>
        <w:t xml:space="preserve">  ·  L'estimateur retenu</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L'estimateur retenu combine les deux, suivant Heckman et ses coauteurs : la double différence est calculée sur les seuls enfants appariés, chaque témoin entrant avec le poids que lui donne l'appariement. Les deux limites se compensent alors : l'appariement rend les groupes comparables sur l'observable, la double différence neutralise l'inobservable stable.</w:t>
      </w:r>
    </w:p>
    <w:p>
      <w:pPr>
        <w:pStyle w:val="Heading1"/>
        <w:spacing w:after="200" w:before="400"/>
      </w:pPr>
      <w:r>
        <w:rPr>
          <w:rFonts w:ascii="Times New Roman" w:cs="Times New Roman" w:eastAsia="Times New Roman" w:hAnsi="Times New Roman"/>
          <w:b/>
          <w:bCs/>
          <w:color w:val="0E6E96"/>
          <w:sz w:val="30"/>
          <w:szCs w:val="30"/>
        </w:rPr>
        <w:t xml:space="preserve">Quatrième temps · Résultats empiriques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13</w:t>
      </w:r>
      <w:r>
        <w:rPr>
          <w:rFonts w:ascii="Times New Roman" w:cs="Times New Roman" w:eastAsia="Times New Roman" w:hAnsi="Times New Roman"/>
          <w:color w:val="6E747E"/>
          <w:sz w:val="20"/>
          <w:szCs w:val="20"/>
        </w:rPr>
        <w:t xml:space="preserve">  ·  État des lieux</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Avant l'effet des transferts, un état des lieux. L'incidence de la pauvreté multidimensionnelle recule de 63,5 pour cent en 2018 à 57,8 pour cent en 2021. Mais l'intensité, c'est-à-dire le nombre moyen de privations parmi les enfants pauvres, reste quasi stable, à un peu plus de 70 pour cent. Autrement dit, il y a moins d'enfants pauvres, mais ceux qui le restent cumulent toujours près de cinq privations sur sept. La distribution, à droite, montre que le seuil de quatre dimensions se situe au voisinage du mode.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14</w:t>
      </w:r>
      <w:r>
        <w:rPr>
          <w:rFonts w:ascii="Times New Roman" w:cs="Times New Roman" w:eastAsia="Times New Roman" w:hAnsi="Times New Roman"/>
          <w:color w:val="6E747E"/>
          <w:sz w:val="20"/>
          <w:szCs w:val="20"/>
        </w:rPr>
        <w:t xml:space="preserve">  ·  Disparités régionales</w:t>
      </w:r>
      <w:r>
        <w:rPr>
          <w:rFonts w:ascii="Times New Roman" w:cs="Times New Roman" w:eastAsia="Times New Roman" w:hAnsi="Times New Roman"/>
          <w:color w:val="6E747E"/>
          <w:sz w:val="20"/>
          <w:szCs w:val="20"/>
        </w:rPr>
        <w:t xml:space="preserve">	45 s</w:t>
      </w:r>
    </w:p>
    <w:p>
      <w:pPr>
        <w:spacing w:after="160" w:line="360"/>
        <w:jc w:val="both"/>
      </w:pPr>
      <w:r>
        <w:rPr>
          <w:rFonts w:ascii="Times New Roman" w:cs="Times New Roman" w:eastAsia="Times New Roman" w:hAnsi="Times New Roman"/>
          <w:sz w:val="24"/>
          <w:szCs w:val="24"/>
        </w:rPr>
        <w:t xml:space="preserve">Cette moyenne nationale recouvre des écarts considérables. En 2021, l'incidence va de 16,7 pour cent à Dakar à 78,1 pour cent à Kolda, soit un rapport de un à cinq. Les régions du sud et de l'est concentrent les privations. Le recul est général sur la période, à deux exceptions près, Thiès et Kaolack, où l'incidence progresse.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15</w:t>
      </w:r>
      <w:r>
        <w:rPr>
          <w:rFonts w:ascii="Times New Roman" w:cs="Times New Roman" w:eastAsia="Times New Roman" w:hAnsi="Times New Roman"/>
          <w:color w:val="6E747E"/>
          <w:sz w:val="20"/>
          <w:szCs w:val="20"/>
        </w:rPr>
        <w:t xml:space="preserve">  ·  Ventilation par sous-groupe</w:t>
      </w:r>
      <w:r>
        <w:rPr>
          <w:rFonts w:ascii="Times New Roman" w:cs="Times New Roman" w:eastAsia="Times New Roman" w:hAnsi="Times New Roman"/>
          <w:color w:val="6E747E"/>
          <w:sz w:val="20"/>
          <w:szCs w:val="20"/>
        </w:rPr>
        <w:t xml:space="preserve">	45 s</w:t>
      </w:r>
    </w:p>
    <w:p>
      <w:pPr>
        <w:spacing w:after="160" w:line="360"/>
        <w:jc w:val="both"/>
      </w:pPr>
      <w:r>
        <w:rPr>
          <w:rFonts w:ascii="Times New Roman" w:cs="Times New Roman" w:eastAsia="Times New Roman" w:hAnsi="Times New Roman"/>
          <w:sz w:val="24"/>
          <w:szCs w:val="24"/>
        </w:rPr>
        <w:t xml:space="preserve">Par groupe d'âge et par genre du chef de ménage, un fait ressort : les enfants des ménages bénéficiaires partent d'un niveau nettement plus favorable. Chez les 0 à 4 ans, leur avantage passe de 23,7 à 16,9 points entre les deux vagues, tiré par la nutrition. Cet avantage précède le traitement, et c'est exactement ce que l'appariement doit corriger.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16</w:t>
      </w:r>
      <w:r>
        <w:rPr>
          <w:rFonts w:ascii="Times New Roman" w:cs="Times New Roman" w:eastAsia="Times New Roman" w:hAnsi="Times New Roman"/>
          <w:color w:val="6E747E"/>
          <w:sz w:val="20"/>
          <w:szCs w:val="20"/>
        </w:rPr>
        <w:t xml:space="preserve">  ·  Évolution par statut</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La courbe décompose l'incidence d'ensemble selon le statut du ménage. Les deux groupes reculent, mais l'écart de départ est manifeste et il ne se referme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17</w:t>
      </w:r>
      <w:r>
        <w:rPr>
          <w:rFonts w:ascii="Times New Roman" w:cs="Times New Roman" w:eastAsia="Times New Roman" w:hAnsi="Times New Roman"/>
          <w:color w:val="6E747E"/>
          <w:sz w:val="20"/>
          <w:szCs w:val="20"/>
        </w:rPr>
        <w:t xml:space="preserve">  ·  Qualité de l'appariement</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Avant de commenter l'effet, un mot sur la qualité de l'appariement, dont dépend la crédibilité de tout ce qui suit. Le logit est estimé sur 17 735 enfants. La différence standardisée moyenne entre traités et témoins passe de 11,4 pour cent avant appariement à 2,4 pour cent après, très en deçà du seuil usuel de 10 pour cent, et le test joint de nullité des covariables n'est plus rejeté. Le panel apparié compte 16 210 observations-enfants sur le support commun.</w:t>
      </w:r>
    </w:p>
    <w:p>
      <w:pPr>
        <w:spacing w:after="160"/>
        <w:ind w:left="340"/>
      </w:pPr>
      <w:r>
        <w:rPr>
          <w:rFonts w:ascii="Times New Roman" w:cs="Times New Roman" w:eastAsia="Times New Roman" w:hAnsi="Times New Roman"/>
          <w:i/>
          <w:iCs/>
          <w:color w:val="6E747E"/>
          <w:sz w:val="22"/>
          <w:szCs w:val="22"/>
        </w:rPr>
        <w:t xml:space="preserve">Ne pas s'attarder : le jury retient surtout que l'équilibre est atteint.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18</w:t>
      </w:r>
      <w:r>
        <w:rPr>
          <w:rFonts w:ascii="Times New Roman" w:cs="Times New Roman" w:eastAsia="Times New Roman" w:hAnsi="Times New Roman"/>
          <w:color w:val="6E747E"/>
          <w:sz w:val="20"/>
          <w:szCs w:val="20"/>
        </w:rPr>
        <w:t xml:space="preserve">  ·  Le résultat central</w:t>
      </w:r>
      <w:r>
        <w:rPr>
          <w:rFonts w:ascii="Times New Roman" w:cs="Times New Roman" w:eastAsia="Times New Roman" w:hAnsi="Times New Roman"/>
          <w:color w:val="6E747E"/>
          <w:sz w:val="20"/>
          <w:szCs w:val="20"/>
        </w:rPr>
        <w:t xml:space="preserve">	2 min</w:t>
      </w:r>
    </w:p>
    <w:p>
      <w:pPr>
        <w:spacing w:after="160" w:line="360"/>
        <w:jc w:val="both"/>
      </w:pPr>
      <w:r>
        <w:rPr>
          <w:rFonts w:ascii="Times New Roman" w:cs="Times New Roman" w:eastAsia="Times New Roman" w:hAnsi="Times New Roman"/>
          <w:sz w:val="24"/>
          <w:szCs w:val="24"/>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Sur la période 2018-2021, la pauvreté multidimensionnelle des enfants des ménages bénéficiaires recule plus lentement que celle des témoins appariés. L'écart est de 6,4 points de pourcentage, significatif au seuil de 5 pour cent. Le résultat ne tient pas au choix de l'algorithme : les trois appariements concordent, de 0,050 à 0,064. La double différence sans appariement, qui ne corrige pas l'avantage initial, donne le même signe atténué, à 0,035.</w:t>
      </w:r>
    </w:p>
    <w:p>
      <w:pPr>
        <w:spacing w:after="160" w:line="360"/>
        <w:jc w:val="both"/>
      </w:pPr>
      <w:r>
        <w:rPr>
          <w:rFonts w:ascii="Times New Roman" w:cs="Times New Roman" w:eastAsia="Times New Roman" w:hAnsi="Times New Roman"/>
          <w:sz w:val="24"/>
          <w:szCs w:val="24"/>
        </w:rPr>
        <w:t xml:space="preserve">La première hypothèse n'est donc pas validée. Je précise immédiatement le sens de ce résultat, car il se prête à un contresens : il ne dit pas que les transferts appauvrissent les enfants. Il dit que, sur cet horizon de trois ans, les conditions de vie des enfants bénéficiaires se sont améliorées plus lentement que celles de leurs témoins.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19</w:t>
      </w:r>
      <w:r>
        <w:rPr>
          <w:rFonts w:ascii="Times New Roman" w:cs="Times New Roman" w:eastAsia="Times New Roman" w:hAnsi="Times New Roman"/>
          <w:color w:val="6E747E"/>
          <w:sz w:val="20"/>
          <w:szCs w:val="20"/>
        </w:rPr>
        <w:t xml:space="preserve">  ·  Effets par dimension</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L'effet n'est pas diffus, il se localise. Sur les sept dimensions, une seule ressort : la nutrition, avec 6,8 points, significative à 10 pour cent, et c'est précisément la dimension qui dépend le plus directement du budget courant du ménage. L'assainissement va dans le même sens, à 4,6 points, sans atteindre la significativité. Les cinq autres dimensions restent comprises entre 0,5 et 2,4 points, toutes non significatives.</w:t>
      </w:r>
    </w:p>
    <w:p>
      <w:pPr>
        <w:spacing w:after="160" w:line="360"/>
        <w:jc w:val="both"/>
      </w:pPr>
      <w:r>
        <w:rPr>
          <w:rFonts w:ascii="Times New Roman" w:cs="Times New Roman" w:eastAsia="Times New Roman" w:hAnsi="Times New Roman"/>
          <w:sz w:val="24"/>
          <w:szCs w:val="24"/>
        </w:rPr>
        <w:t xml:space="preserve">Par groupe d'âge, l'effet n'est établi que chez les 0 à 4 ans, à 9,1 points, significatif à 5 pour cent. Effet par âge et effet par dimension se répondent : les besoins des plus jeunes passent d'abord par l'alimentation. En revanche, aucun test d'égalité ne conclut, ni entre milieux, ni selon le genre du chef, ni entre tranches d'âge : les sous-groupes se distinguent par la significativité de leur effet, non par une ampleur supérieure.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20</w:t>
      </w:r>
      <w:r>
        <w:rPr>
          <w:rFonts w:ascii="Times New Roman" w:cs="Times New Roman" w:eastAsia="Times New Roman" w:hAnsi="Times New Roman"/>
          <w:color w:val="6E747E"/>
          <w:sz w:val="20"/>
          <w:szCs w:val="20"/>
        </w:rPr>
        <w:t xml:space="preserve">  ·  Effet selon le montant</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Dernier volet, l'intensité du traitement. L'écart défavorable se concentre sur les plus faibles montants : seuls les deux premiers quintiles sont significatifs, à 12,9 et 9,9 points. Il ne se retrouve pas pour les transferts les plus élevés, le dernier quintile étant même très légèrement négatif. La pente dose-réponse, estimée sur le logarithme du montant, vaut moins 0,025 et est significative à 10 pour cent : plus le montant reçu est élevé, plus l'écart tend à se réduire.</w:t>
      </w:r>
    </w:p>
    <w:p>
      <w:pPr>
        <w:spacing w:after="160" w:line="360"/>
        <w:jc w:val="both"/>
      </w:pPr>
      <w:r>
        <w:rPr>
          <w:rFonts w:ascii="Times New Roman" w:cs="Times New Roman" w:eastAsia="Times New Roman" w:hAnsi="Times New Roman"/>
          <w:sz w:val="24"/>
          <w:szCs w:val="24"/>
        </w:rPr>
        <w:t xml:space="preserve">Je dois toutefois nuancer : le profil n'est pas strictement monotone, le quatrième quintile remontant sans être significatif. Et le montant relevant du choix du migrant, ce gradient se lit comme une association conditionnelle, non comme un effet causal du montant.</w:t>
      </w:r>
    </w:p>
    <w:p>
      <w:pPr>
        <w:pStyle w:val="Heading1"/>
        <w:spacing w:after="200" w:before="400"/>
      </w:pPr>
      <w:r>
        <w:rPr>
          <w:rFonts w:ascii="Times New Roman" w:cs="Times New Roman" w:eastAsia="Times New Roman" w:hAnsi="Times New Roman"/>
          <w:b/>
          <w:bCs/>
          <w:color w:val="0E6E96"/>
          <w:sz w:val="30"/>
          <w:szCs w:val="30"/>
        </w:rPr>
        <w:t xml:space="preserve">Cinquième temps · Robustesse et discussion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21</w:t>
      </w:r>
      <w:r>
        <w:rPr>
          <w:rFonts w:ascii="Times New Roman" w:cs="Times New Roman" w:eastAsia="Times New Roman" w:hAnsi="Times New Roman"/>
          <w:color w:val="6E747E"/>
          <w:sz w:val="20"/>
          <w:szCs w:val="20"/>
        </w:rPr>
        <w:t xml:space="preserve">  ·  Tests de robustesse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Le résultat a été mis à l'épreuve de trois façons. Le choix de la méthode d'appariement, d'abord : les trois algorithmes donnent un effet de 0,050 à 0,064, tous significatifs au moins à 10 pour cent. Le seuil de privation ensuite : testé de une à sept dimensions, l'ampleur suit une courbe en cloche, maximale au seuil retenu et significative seulement pour deux, trois et quatre dimensions. Cela nous apprend quelque chose : l'effet se joue au milieu de la distribution des privations, pas dans son noyau. Enfin, une implémentation indépendante du même estimateur retrouve le résultat.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22</w:t>
      </w:r>
      <w:r>
        <w:rPr>
          <w:rFonts w:ascii="Times New Roman" w:cs="Times New Roman" w:eastAsia="Times New Roman" w:hAnsi="Times New Roman"/>
          <w:color w:val="6E747E"/>
          <w:sz w:val="20"/>
          <w:szCs w:val="20"/>
        </w:rPr>
        <w:t xml:space="preserve">  ·  La définition alternative</w:t>
      </w:r>
      <w:r>
        <w:rPr>
          <w:rFonts w:ascii="Times New Roman" w:cs="Times New Roman" w:eastAsia="Times New Roman" w:hAnsi="Times New Roman"/>
          <w:color w:val="6E747E"/>
          <w:sz w:val="20"/>
          <w:szCs w:val="20"/>
        </w:rPr>
        <w:t xml:space="preserve">	45 s</w:t>
      </w:r>
    </w:p>
    <w:p>
      <w:pPr>
        <w:spacing w:after="160" w:line="360"/>
        <w:jc w:val="both"/>
      </w:pPr>
      <w:r>
        <w:rPr>
          <w:rFonts w:ascii="Times New Roman" w:cs="Times New Roman" w:eastAsia="Times New Roman" w:hAnsi="Times New Roman"/>
          <w:sz w:val="24"/>
          <w:szCs w:val="24"/>
        </w:rPr>
        <w:t xml:space="preserve">Un test mérite d'être signalé, car il nuance la portée du résultat. Si l'on restreint les traités aux bénéficiaires des deux vagues, l'effet tombe à 0,022 en double différence et à moins 0,008 avec appariement, tous deux non significatifs. L'exposition de ces ménages, déjà en cours en 2018, relève d'une autre question que celle du design principal. Autrement dit : le signe et l'ordre de grandeur résistent à l'algorithme comme au seuil, mais la définition du traitement les fait disparaître.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23</w:t>
      </w:r>
      <w:r>
        <w:rPr>
          <w:rFonts w:ascii="Times New Roman" w:cs="Times New Roman" w:eastAsia="Times New Roman" w:hAnsi="Times New Roman"/>
          <w:color w:val="6E747E"/>
          <w:sz w:val="20"/>
          <w:szCs w:val="20"/>
        </w:rPr>
        <w:t xml:space="preserve">  ·  Comment comprendre ce résultat</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Comment expliquer qu'une ressource de cette ampleur ne réduise pas les privations ? Trois mécanismes me paraissent devoir être avancés.</w:t>
      </w:r>
    </w:p>
    <w:p>
      <w:pPr>
        <w:spacing w:after="160" w:line="360"/>
        <w:jc w:val="both"/>
      </w:pPr>
      <w:r>
        <w:rPr>
          <w:rFonts w:ascii="Times New Roman" w:cs="Times New Roman" w:eastAsia="Times New Roman" w:hAnsi="Times New Roman"/>
          <w:sz w:val="24"/>
          <w:szCs w:val="24"/>
        </w:rPr>
        <w:t xml:space="preserve">L'usage des fonds, d'abord. 68,5 pour cent des transferts relèvent du soutien courant et moins d'un dixième va explicitement à la santé ou à la scolarité. Un flux qui finance l'ordinaire du ménage a peu de raisons de déplacer les seuils de privation retenus par l'indice.</w:t>
      </w:r>
    </w:p>
    <w:p>
      <w:pPr>
        <w:spacing w:after="160" w:line="360"/>
        <w:jc w:val="both"/>
      </w:pPr>
      <w:r>
        <w:rPr>
          <w:rFonts w:ascii="Times New Roman" w:cs="Times New Roman" w:eastAsia="Times New Roman" w:hAnsi="Times New Roman"/>
          <w:sz w:val="24"/>
          <w:szCs w:val="24"/>
        </w:rPr>
        <w:t xml:space="preserve">La contrainte d'offre, ensuite. L'eau, l'assainissement et l'accès aux soins supposent des investissements collectifs que le pouvoir d'achat privé ne remplace pas. Le fait que la privation en santé touche 97 pour cent des enfants aux deux vagues, quasiment sans écart entre bénéficiaires et témoins en 2021, en est l'illustration la plus nette.</w:t>
      </w:r>
    </w:p>
    <w:p>
      <w:pPr>
        <w:spacing w:after="160" w:line="360"/>
        <w:jc w:val="both"/>
      </w:pPr>
      <w:r>
        <w:rPr>
          <w:rFonts w:ascii="Times New Roman" w:cs="Times New Roman" w:eastAsia="Times New Roman" w:hAnsi="Times New Roman"/>
          <w:sz w:val="24"/>
          <w:szCs w:val="24"/>
        </w:rPr>
        <w:t xml:space="preserve">La marge sur laquelle l'effet opère, enfin. La sensibilité au seuil montre que l'écart se joue chez les enfants situés au milieu de la distribution. Le noyau des enfants cumulant six ou sept privations relève de déficits structurels qu'aucun flux monétaire privé ne déplace en trois ans.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24</w:t>
      </w:r>
      <w:r>
        <w:rPr>
          <w:rFonts w:ascii="Times New Roman" w:cs="Times New Roman" w:eastAsia="Times New Roman" w:hAnsi="Times New Roman"/>
          <w:color w:val="6E747E"/>
          <w:sz w:val="20"/>
          <w:szCs w:val="20"/>
        </w:rPr>
        <w:t xml:space="preserve">  ·  Validation des hypothèses</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Au terme de ce parcours, la première hypothèse n'est pas validée : l'effet est de signe défavorable et aucune réduction n'est observée sur l'horizon. La seconde est partiellement validée : l'effet est bien hétérogène selon les dimensions et selon le montant, mais aucun test d'égalité ne conclut par milieu, genre du chef ou tranche d'âge.</w:t>
      </w:r>
    </w:p>
    <w:p>
      <w:pPr>
        <w:pStyle w:val="Heading1"/>
        <w:spacing w:after="200" w:before="400"/>
      </w:pPr>
      <w:r>
        <w:rPr>
          <w:rFonts w:ascii="Times New Roman" w:cs="Times New Roman" w:eastAsia="Times New Roman" w:hAnsi="Times New Roman"/>
          <w:b/>
          <w:bCs/>
          <w:color w:val="0E6E96"/>
          <w:sz w:val="30"/>
          <w:szCs w:val="30"/>
        </w:rPr>
        <w:t xml:space="preserve">Sixième temps · Conclusion et recommandations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25</w:t>
      </w:r>
      <w:r>
        <w:rPr>
          <w:rFonts w:ascii="Times New Roman" w:cs="Times New Roman" w:eastAsia="Times New Roman" w:hAnsi="Times New Roman"/>
          <w:color w:val="6E747E"/>
          <w:sz w:val="20"/>
          <w:szCs w:val="20"/>
        </w:rPr>
        <w:t xml:space="preserve">  ·  Conclusion générale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Quatre apports se dégagent. Une mesure de la pauvreté multidimensionnelle des enfants sur deux vagues de l'EHCVM, selon l'approche MODA. Le constat d'un recul réel de l'incidence, de 63,5 à 57,8 pour cent, sur fond d'une pauvreté qui reste massive. Le résultat central, à savoir que les transferts ne réduisent pas, à trois ans, la pauvreté multidimensionnelle des enfants. Et sa localisation précise : la nutrition, les 0 à 4 ans et les plus faibles montants reçus.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26</w:t>
      </w:r>
      <w:r>
        <w:rPr>
          <w:rFonts w:ascii="Times New Roman" w:cs="Times New Roman" w:eastAsia="Times New Roman" w:hAnsi="Times New Roman"/>
          <w:color w:val="6E747E"/>
          <w:sz w:val="20"/>
          <w:szCs w:val="20"/>
        </w:rPr>
        <w:t xml:space="preserve">  ·  Recommandations</w:t>
      </w:r>
      <w:r>
        <w:rPr>
          <w:rFonts w:ascii="Times New Roman" w:cs="Times New Roman" w:eastAsia="Times New Roman" w:hAnsi="Times New Roman"/>
          <w:color w:val="6E747E"/>
          <w:sz w:val="20"/>
          <w:szCs w:val="20"/>
        </w:rPr>
        <w:t xml:space="preserve">	1 min 30</w:t>
      </w:r>
    </w:p>
    <w:p>
      <w:pPr>
        <w:spacing w:after="160" w:line="360"/>
        <w:jc w:val="both"/>
      </w:pPr>
      <w:r>
        <w:rPr>
          <w:rFonts w:ascii="Times New Roman" w:cs="Times New Roman" w:eastAsia="Times New Roman" w:hAnsi="Times New Roman"/>
          <w:sz w:val="24"/>
          <w:szCs w:val="24"/>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Là où l'écart se concentre, d'abord : donner la priorité à la sécurité alimentaire des enfants dans les zones d'émigration, cibler les enfants de 0 à 4 ans des ménages bénéficiaires, et accompagner en priorité les ménages qui reçoivent les plus faibles montants. J'insiste sur un point : recevoir des transferts ne doit pas valoir exclusion des filets sociaux, puisque c'est précisément chez ces ménages que la trajectoire est la moins favorable.</w:t>
      </w:r>
    </w:p>
    <w:p>
      <w:pPr>
        <w:spacing w:after="160" w:line="360"/>
        <w:jc w:val="both"/>
      </w:pPr>
      <w:r>
        <w:rPr>
          <w:rFonts w:ascii="Times New Roman" w:cs="Times New Roman" w:eastAsia="Times New Roman" w:hAnsi="Times New Roman"/>
          <w:sz w:val="24"/>
          <w:szCs w:val="24"/>
        </w:rPr>
        <w:t xml:space="preserve">Sur les conditions de conversion des transferts, ensuite : réduire les coûts de transaction des envois formels, compléter les transferts par l'offre publique de services de base, et renforcer le suivi statistique des transferts. Le message est simple : le transfert privé ne remplace pas l'investissement collectif, il le suppose.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27</w:t>
      </w:r>
      <w:r>
        <w:rPr>
          <w:rFonts w:ascii="Times New Roman" w:cs="Times New Roman" w:eastAsia="Times New Roman" w:hAnsi="Times New Roman"/>
          <w:color w:val="6E747E"/>
          <w:sz w:val="20"/>
          <w:szCs w:val="20"/>
        </w:rPr>
        <w:t xml:space="preserve">  ·  Limites de l'étude</w:t>
      </w:r>
      <w:r>
        <w:rPr>
          <w:rFonts w:ascii="Times New Roman" w:cs="Times New Roman" w:eastAsia="Times New Roman" w:hAnsi="Times New Roman"/>
          <w:color w:val="6E747E"/>
          <w:sz w:val="20"/>
          <w:szCs w:val="20"/>
        </w:rPr>
        <w:t xml:space="preserve">	1 min</w:t>
      </w:r>
    </w:p>
    <w:p>
      <w:pPr>
        <w:spacing w:after="160" w:line="360"/>
        <w:jc w:val="both"/>
      </w:pPr>
      <w:r>
        <w:rPr>
          <w:rFonts w:ascii="Times New Roman" w:cs="Times New Roman" w:eastAsia="Times New Roman" w:hAnsi="Times New Roman"/>
          <w:sz w:val="24"/>
          <w:szCs w:val="24"/>
        </w:rPr>
        <w:t xml:space="preserve">Ce travail a ses limites, et je préfère les énoncer moi-même. L'hypothèse de tendances parallèles n'est pas testable directement, deux vagues seulement étant disponibles ; l'appariement sur les niveaux initiaux la rend plus crédible sans la démontrer. Les enfants vieillissent entre les deux enquêtes et sont évalués sur la grille de leur âge courant ; le fait de figer les groupes d'âge à la période de base neutralise l'essentiel de cet effet. Enfin, la nutrition et la santé reposent sur les seuls indicateurs strictement comparables entre les deux vagues, car un indicateur redéfini entre 2018 et 2021 produirait un effet mesuré sans contenu causal.</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28</w:t>
      </w:r>
      <w:r>
        <w:rPr>
          <w:rFonts w:ascii="Times New Roman" w:cs="Times New Roman" w:eastAsia="Times New Roman" w:hAnsi="Times New Roman"/>
          <w:color w:val="6E747E"/>
          <w:sz w:val="20"/>
          <w:szCs w:val="20"/>
        </w:rPr>
        <w:t xml:space="preserve">  ·  Perspectives</w:t>
      </w:r>
      <w:r>
        <w:rPr>
          <w:rFonts w:ascii="Times New Roman" w:cs="Times New Roman" w:eastAsia="Times New Roman" w:hAnsi="Times New Roman"/>
          <w:color w:val="6E747E"/>
          <w:sz w:val="20"/>
          <w:szCs w:val="20"/>
        </w:rPr>
        <w:t xml:space="preserve">	30 s</w:t>
      </w:r>
    </w:p>
    <w:p>
      <w:pPr>
        <w:spacing w:after="160" w:line="360"/>
        <w:jc w:val="both"/>
      </w:pPr>
      <w:r>
        <w:rPr>
          <w:rFonts w:ascii="Times New Roman" w:cs="Times New Roman" w:eastAsia="Times New Roman" w:hAnsi="Times New Roman"/>
          <w:sz w:val="24"/>
          <w:szCs w:val="24"/>
        </w:rPr>
        <w:t xml:space="preserve">Trois prolongements me semblent utiles : analyser les mécanismes de transmission à travers les dépenses d'éducation, de santé et de logement ; intégrer la durée d'exposition aux transferts et leurs usages effectifs, que le statut binaire ne capte pas ; et étendre l'analyse aux autres pays de l'UEMOA couverts par l'EHCVM, dont le questionnaire est harmonisé.</w:t>
      </w:r>
    </w:p>
    <w:p>
      <w:pPr>
        <w:pStyle w:val="Heading1"/>
        <w:spacing w:after="200" w:before="400"/>
      </w:pPr>
      <w:r>
        <w:rPr>
          <w:rFonts w:ascii="Times New Roman" w:cs="Times New Roman" w:eastAsia="Times New Roman" w:hAnsi="Times New Roman"/>
          <w:b/>
          <w:bCs/>
          <w:color w:val="0E6E96"/>
          <w:sz w:val="30"/>
          <w:szCs w:val="30"/>
        </w:rPr>
        <w:t xml:space="preserve">Clôture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finale</w:t>
      </w:r>
      <w:r>
        <w:rPr>
          <w:rFonts w:ascii="Times New Roman" w:cs="Times New Roman" w:eastAsia="Times New Roman" w:hAnsi="Times New Roman"/>
          <w:color w:val="6E747E"/>
          <w:sz w:val="20"/>
          <w:szCs w:val="20"/>
        </w:rPr>
        <w:t xml:space="preserve">  ·  Merci de votre attention</w:t>
      </w:r>
      <w:r>
        <w:rPr>
          <w:rFonts w:ascii="Times New Roman" w:cs="Times New Roman" w:eastAsia="Times New Roman" w:hAnsi="Times New Roman"/>
          <w:color w:val="6E747E"/>
          <w:sz w:val="20"/>
          <w:szCs w:val="20"/>
        </w:rPr>
        <w:t xml:space="preserve">	20 s</w:t>
      </w:r>
    </w:p>
    <w:p>
      <w:pPr>
        <w:spacing w:after="160" w:line="360"/>
        <w:jc w:val="both"/>
      </w:pPr>
      <w:r>
        <w:rPr>
          <w:rFonts w:ascii="Times New Roman" w:cs="Times New Roman" w:eastAsia="Times New Roman" w:hAnsi="Times New Roman"/>
          <w:sz w:val="24"/>
          <w:szCs w:val="24"/>
        </w:rPr>
        <w:t xml:space="preserve">Je vous remercie de votre attention et je me tiens à votre disposition pour vos questions.</w:t>
      </w:r>
    </w:p>
    <w:p>
      <w:pPr>
        <w:spacing w:after="160"/>
        <w:ind w:left="340"/>
      </w:pPr>
      <w:r>
        <w:rPr>
          <w:rFonts w:ascii="Times New Roman" w:cs="Times New Roman" w:eastAsia="Times New Roman" w:hAnsi="Times New Roman"/>
          <w:i/>
          <w:iCs/>
          <w:color w:val="6E747E"/>
          <w:sz w:val="22"/>
          <w:szCs w:val="22"/>
        </w:rPr>
        <w:t xml:space="preserve">Rester debout, face au jury, sans se rasseoir immédiatement. Deux annexes sont accessibles par bouton : la matrice MODA complète, et les motifs et montants des transferts.</w:t>
      </w:r>
    </w:p>
    <w:p>
      <w:pPr>
        <w:pageBreakBefore/>
      </w:pPr>
      <w:r>
        <w:t xml:space="preserve"/>
      </w:r>
    </w:p>
    <w:p>
      <w:pPr>
        <w:pStyle w:val="Heading1"/>
        <w:spacing w:after="200" w:before="400"/>
      </w:pPr>
      <w:r>
        <w:rPr>
          <w:rFonts w:ascii="Times New Roman" w:cs="Times New Roman" w:eastAsia="Times New Roman" w:hAnsi="Times New Roman"/>
          <w:b/>
          <w:bCs/>
          <w:color w:val="0E6E96"/>
          <w:sz w:val="30"/>
          <w:szCs w:val="30"/>
        </w:rPr>
        <w:t xml:space="preserve">Réponses préparées aux questions attendues</w:t>
      </w:r>
    </w:p>
    <w:p>
      <w:pPr>
        <w:spacing w:after="100" w:before="280"/>
      </w:pPr>
      <w:r>
        <w:rPr>
          <w:rFonts w:ascii="Times New Roman" w:cs="Times New Roman" w:eastAsia="Times New Roman" w:hAnsi="Times New Roman"/>
          <w:b/>
          <w:bCs/>
          <w:color w:val="0E6E96"/>
          <w:sz w:val="24"/>
          <w:szCs w:val="24"/>
        </w:rPr>
        <w:t xml:space="preserve">Pourquoi un effet de signe défavorable ?</w:t>
      </w:r>
    </w:p>
    <w:p>
      <w:pPr>
        <w:spacing w:after="160" w:line="360"/>
        <w:jc w:val="both"/>
      </w:pPr>
      <w:r>
        <w:rPr>
          <w:rFonts w:ascii="Times New Roman" w:cs="Times New Roman" w:eastAsia="Times New Roman" w:hAnsi="Times New Roman"/>
          <w:sz w:val="24"/>
          <w:szCs w:val="24"/>
        </w:rPr>
        <w:t xml:space="preserve">Parce que les bénéficiaires partaient d'un niveau plus favorable et que leur avantage s'érode : l'incidence recule chez tous, mais moins vite chez eux. Les trois mécanismes que j'ai exposés, l'usage des fonds, la contrainte d'offre et la marge sur laquelle l'effet opère, expliquent pourquoi l'apport monétaire ne suffit pas à maintenir cet avantage.</w:t>
      </w:r>
    </w:p>
    <w:p>
      <w:pPr>
        <w:spacing w:after="100" w:before="280"/>
      </w:pPr>
      <w:r>
        <w:rPr>
          <w:rFonts w:ascii="Times New Roman" w:cs="Times New Roman" w:eastAsia="Times New Roman" w:hAnsi="Times New Roman"/>
          <w:b/>
          <w:bCs/>
          <w:color w:val="0E6E96"/>
          <w:sz w:val="24"/>
          <w:szCs w:val="24"/>
        </w:rPr>
        <w:t xml:space="preserve">Votre écart de 63,5 pour cent avec les 50,7 pour cent de l'ANSD et de l'UNICEF ?</w:t>
      </w:r>
    </w:p>
    <w:p>
      <w:pPr>
        <w:spacing w:after="160" w:line="360"/>
        <w:jc w:val="both"/>
      </w:pPr>
      <w:r>
        <w:rPr>
          <w:rFonts w:ascii="Times New Roman" w:cs="Times New Roman" w:eastAsia="Times New Roman" w:hAnsi="Times New Roman"/>
          <w:sz w:val="24"/>
          <w:szCs w:val="24"/>
        </w:rPr>
        <w:t xml:space="preserve">Les deux chiffres ne portent pas sur le même échantillon. Le mien est restreint aux enfants suivis aux deux vagues, ce qui exclut notamment les naissances postérieures à 2018 et les enfants des ménages perdus de vue. La construction des indicateurs, contrainte par la comparabilité entre vagues, joue également.</w:t>
      </w:r>
    </w:p>
    <w:p>
      <w:pPr>
        <w:spacing w:after="100" w:before="280"/>
      </w:pPr>
      <w:r>
        <w:rPr>
          <w:rFonts w:ascii="Times New Roman" w:cs="Times New Roman" w:eastAsia="Times New Roman" w:hAnsi="Times New Roman"/>
          <w:b/>
          <w:bCs/>
          <w:color w:val="0E6E96"/>
          <w:sz w:val="24"/>
          <w:szCs w:val="24"/>
        </w:rPr>
        <w:t xml:space="preserve">Comment justifiez-vous l'hypothèse de tendances parallèles ?</w:t>
      </w:r>
    </w:p>
    <w:p>
      <w:pPr>
        <w:spacing w:after="160" w:line="360"/>
        <w:jc w:val="both"/>
      </w:pPr>
      <w:r>
        <w:rPr>
          <w:rFonts w:ascii="Times New Roman" w:cs="Times New Roman" w:eastAsia="Times New Roman" w:hAnsi="Times New Roman"/>
          <w:sz w:val="24"/>
          <w:szCs w:val="24"/>
        </w:rPr>
        <w:t xml:space="preserve">Je ne peux pas la tester directement avec deux vagues, et je l'assume. L'appariement sur les caractéristiques observables à la période de base la rend plus crédible, puisque les groupes comparés partent de niveaux et de profils voisins. C'est une limite du dispositif, pas un oubli.</w:t>
      </w:r>
    </w:p>
    <w:p>
      <w:pPr>
        <w:spacing w:after="100" w:before="280"/>
      </w:pPr>
      <w:r>
        <w:rPr>
          <w:rFonts w:ascii="Times New Roman" w:cs="Times New Roman" w:eastAsia="Times New Roman" w:hAnsi="Times New Roman"/>
          <w:b/>
          <w:bCs/>
          <w:color w:val="0E6E96"/>
          <w:sz w:val="24"/>
          <w:szCs w:val="24"/>
        </w:rPr>
        <w:t xml:space="preserve">Pourquoi le seuil de quatre dimensions ?</w:t>
      </w:r>
    </w:p>
    <w:p>
      <w:pPr>
        <w:spacing w:after="160" w:line="360"/>
        <w:jc w:val="both"/>
      </w:pPr>
      <w:r>
        <w:rPr>
          <w:rFonts w:ascii="Times New Roman" w:cs="Times New Roman" w:eastAsia="Times New Roman" w:hAnsi="Times New Roman"/>
          <w:sz w:val="24"/>
          <w:szCs w:val="24"/>
        </w:rPr>
        <w:t xml:space="preserve">C'est le seuil retenu par l'ANSD et l'UNICEF, ce qui assure la comparabilité avec les travaux existants. Je l'ai en outre fait varier de une à sept dimensions : l'ampleur suit une courbe en cloche, maximale à quatre, ce qui montre que le résultat ne dépend pas d'un choix arbitraire.</w:t>
      </w:r>
    </w:p>
    <w:p>
      <w:pPr>
        <w:spacing w:after="100" w:before="280"/>
      </w:pPr>
      <w:r>
        <w:rPr>
          <w:rFonts w:ascii="Times New Roman" w:cs="Times New Roman" w:eastAsia="Times New Roman" w:hAnsi="Times New Roman"/>
          <w:b/>
          <w:bCs/>
          <w:color w:val="0E6E96"/>
          <w:sz w:val="24"/>
          <w:szCs w:val="24"/>
        </w:rPr>
        <w:t xml:space="preserve">Pourquoi l'enfant plutôt que le ménage comme unité d'analyse ?</w:t>
      </w:r>
    </w:p>
    <w:p>
      <w:pPr>
        <w:spacing w:after="160" w:line="360"/>
        <w:jc w:val="both"/>
      </w:pPr>
      <w:r>
        <w:rPr>
          <w:rFonts w:ascii="Times New Roman" w:cs="Times New Roman" w:eastAsia="Times New Roman" w:hAnsi="Times New Roman"/>
          <w:sz w:val="24"/>
          <w:szCs w:val="24"/>
        </w:rPr>
        <w:t xml:space="preserve">Parce que les privations qui nous intéressent sont individuelles : la scolarisation, l'acte de naissance, l'illettrisme ne se mesurent pas au niveau du ménage. Deux enfants d'un même ménage peuvent connaître des situations différentes selon leur âge.</w:t>
      </w:r>
    </w:p>
    <w:p>
      <w:pPr>
        <w:spacing w:after="100" w:before="280"/>
      </w:pPr>
      <w:r>
        <w:rPr>
          <w:rFonts w:ascii="Times New Roman" w:cs="Times New Roman" w:eastAsia="Times New Roman" w:hAnsi="Times New Roman"/>
          <w:b/>
          <w:bCs/>
          <w:color w:val="0E6E96"/>
          <w:sz w:val="24"/>
          <w:szCs w:val="24"/>
        </w:rPr>
        <w:t xml:space="preserve">Le résultat contredit-il la littérature ?</w:t>
      </w:r>
    </w:p>
    <w:p>
      <w:pPr>
        <w:spacing w:after="160" w:line="360"/>
        <w:jc w:val="both"/>
      </w:pPr>
      <w:r>
        <w:rPr>
          <w:rFonts w:ascii="Times New Roman" w:cs="Times New Roman" w:eastAsia="Times New Roman" w:hAnsi="Times New Roman"/>
          <w:sz w:val="24"/>
          <w:szCs w:val="24"/>
        </w:rPr>
        <w:t xml:space="preserve">Il la nuance plutôt qu'il ne la contredit. La littérature établit des effets sur la pauvreté monétaire et sur la scolarisation, mesurés au niveau du ménage. Je mesure autre chose, une pauvreté multidimensionnelle de l'enfant, sur un horizon de trois ans, et je corrige une sélection que beaucoup de travaux transversaux ne corrigent pas.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E74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E747E"/>
        <w:sz w:val="18"/>
        <w:szCs w:val="18"/>
      </w:rPr>
      <w:t xml:space="preserve">Discours de soutenance  ·  Sié Rachid TRAORÉ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soutenance</dc:title>
  <dc:creator>Sié Rachid TRAORÉ</dc:creator>
  <cp:lastModifiedBy>Un-named</cp:lastModifiedBy>
  <cp:revision>1</cp:revision>
  <dcterms:created xsi:type="dcterms:W3CDTF">2026-08-03T18:28:11.116Z</dcterms:created>
  <dcterms:modified xsi:type="dcterms:W3CDTF">2026-08-03T18:28:11.116Z</dcterms:modified>
</cp:coreProperties>
</file>

<file path=docProps/custom.xml><?xml version="1.0" encoding="utf-8"?>
<Properties xmlns="http://schemas.openxmlformats.org/officeDocument/2006/custom-properties" xmlns:vt="http://schemas.openxmlformats.org/officeDocument/2006/docPropsVTypes"/>
</file>