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Times New Roman" w:cs="Times New Roman" w:eastAsia="Times New Roman" w:hAnsi="Times New Roman"/>
          <w:b/>
          <w:bCs/>
          <w:color w:val="000000"/>
          <w:sz w:val="40"/>
          <w:szCs w:val="40"/>
        </w:rPr>
        <w:t xml:space="preserve">TRANSFERTS DES MIGRANTS ET PAUVRETÉ</w:t>
      </w:r>
    </w:p>
    <w:p>
      <w:pPr>
        <w:spacing w:after="240" w:before="0"/>
        <w:jc w:val="center"/>
      </w:pPr>
      <w:r>
        <w:rPr>
          <w:rFonts w:ascii="Times New Roman" w:cs="Times New Roman" w:eastAsia="Times New Roman" w:hAnsi="Times New Roman"/>
          <w:b/>
          <w:bCs/>
          <w:color w:val="000000"/>
          <w:sz w:val="40"/>
          <w:szCs w:val="40"/>
        </w:rPr>
        <w:t xml:space="preserve">MULTIDIMENSIONNELLE DES ENFANTS AU SÉNÉGAL</w:t>
      </w:r>
    </w:p>
    <w:p>
      <w:pPr>
        <w:spacing w:after="240" w:before="240"/>
        <w:jc w:val="center"/>
      </w:pPr>
      <w:r>
        <w:rPr>
          <w:rFonts w:ascii="Times New Roman" w:cs="Times New Roman" w:eastAsia="Times New Roman" w:hAnsi="Times New Roman"/>
          <w:i/>
          <w:iCs/>
          <w:color w:val="000000"/>
          <w:sz w:val="28"/>
          <w:szCs w:val="28"/>
        </w:rPr>
        <w:t xml:space="preserve">Revue théorique et empirique</w:t>
      </w:r>
    </w:p>
    <w:p>
      <w:pPr>
        <w:spacing w:after="120" w:before="0"/>
        <w:jc w:val="center"/>
      </w:pPr>
      <w:r>
        <w:rPr>
          <w:rFonts w:ascii="Times New Roman" w:cs="Times New Roman" w:eastAsia="Times New Roman" w:hAnsi="Times New Roman"/>
          <w:color w:val="000000"/>
          <w:sz w:val="24"/>
          <w:szCs w:val="24"/>
        </w:rPr>
        <w:t xml:space="preserve">_______________________________________________</w:t>
      </w:r>
    </w:p>
    <w:p>
      <w:pPr>
        <w:spacing w:after="0" w:before="240"/>
        <w:jc w:val="center"/>
      </w:pPr>
      <w:r>
        <w:rPr>
          <w:rFonts w:ascii="Times New Roman" w:cs="Times New Roman" w:eastAsia="Times New Roman" w:hAnsi="Times New Roman"/>
          <w:color w:val="000000"/>
          <w:sz w:val="24"/>
          <w:szCs w:val="24"/>
        </w:rPr>
        <w:t xml:space="preserve">Juin 2026</w:t>
      </w:r>
    </w:p>
    <w:p>
      <w:r>
        <w:br w:type="page"/>
      </w:r>
    </w:p>
    <w:p>
      <w:pPr>
        <w:spacing w:after="200" w:before="0"/>
        <w:jc w:val="center"/>
      </w:pPr>
      <w:r>
        <w:rPr>
          <w:rFonts w:ascii="Times New Roman" w:cs="Times New Roman" w:eastAsia="Times New Roman" w:hAnsi="Times New Roman"/>
          <w:b/>
          <w:bCs/>
          <w:color w:val="000000"/>
          <w:sz w:val="26"/>
          <w:szCs w:val="26"/>
        </w:rPr>
        <w:t xml:space="preserve">RÉSUMÉ</w:t>
      </w:r>
    </w:p>
    <w:p>
      <w:pPr>
        <w:spacing w:after="100" w:before="0" w:line="340"/>
        <w:jc w:val="both"/>
      </w:pPr>
      <w:r>
        <w:rPr>
          <w:rFonts w:ascii="Times New Roman" w:cs="Times New Roman" w:eastAsia="Times New Roman" w:hAnsi="Times New Roman"/>
          <w:color w:val="000000"/>
          <w:sz w:val="22"/>
          <w:szCs w:val="22"/>
        </w:rPr>
        <w:t xml:space="preserve">La présente contribution propose une revue théorique et empirique de l’impact des transferts de fonds des migrants sur la pauvreté multidimensionnelle des enfants au Sénégal. La revue théorique mobilise les principaux cadres d’analyse de la migration et des transferts – approche néoclassique, Nouvelle Économie de la Migration du Travail (NELM), approche par les capacités de Sen – et en dégage les canaux de transmission vers le bien-être infantile. La revue empirique synthétise les résultats des études quantitatives disponibles, tant pour le Sénégal que pour l’Afrique subsaharienne, en distinguant les effets sur l’éducation, la santé, la nutrition et les conditions de vie. Les évidences montrent des effets globalement positifs mais hétérogènes, fortement conditionnés par le milieu de résidence, le niveau de revenu du ménage et la qualité des institutions.</w:t>
      </w:r>
    </w:p>
    <w:p>
      <w:pPr>
        <w:spacing w:after="200" w:before="80"/>
        <w:jc w:val="both"/>
      </w:pPr>
      <w:r>
        <w:rPr>
          <w:rFonts w:ascii="Times New Roman" w:cs="Times New Roman" w:eastAsia="Times New Roman" w:hAnsi="Times New Roman"/>
          <w:b/>
          <w:bCs/>
          <w:color w:val="000000"/>
          <w:sz w:val="22"/>
          <w:szCs w:val="22"/>
        </w:rPr>
        <w:t xml:space="preserve">Mots-clés : </w:t>
      </w:r>
      <w:r>
        <w:rPr>
          <w:rFonts w:ascii="Times New Roman" w:cs="Times New Roman" w:eastAsia="Times New Roman" w:hAnsi="Times New Roman"/>
          <w:color w:val="000000"/>
          <w:sz w:val="22"/>
          <w:szCs w:val="22"/>
        </w:rPr>
        <w:t xml:space="preserve">transferts de migrants, pauvreté multidimensionnelle, enfants, Sénégal, IPM, MODA, diaspora.</w:t>
      </w:r>
    </w:p>
    <w:p>
      <w:pPr>
        <w:spacing w:after="200" w:before="0"/>
        <w:jc w:val="both"/>
      </w:pPr>
      <w:r>
        <w:rPr>
          <w:rFonts w:ascii="Times New Roman" w:cs="Times New Roman" w:eastAsia="Times New Roman" w:hAnsi="Times New Roman"/>
          <w:b/>
          <w:bCs/>
          <w:color w:val="000000"/>
          <w:sz w:val="22"/>
          <w:szCs w:val="22"/>
        </w:rPr>
        <w:t xml:space="preserve">Classification JEL : </w:t>
      </w:r>
      <w:r>
        <w:rPr>
          <w:rFonts w:ascii="Times New Roman" w:cs="Times New Roman" w:eastAsia="Times New Roman" w:hAnsi="Times New Roman"/>
          <w:color w:val="000000"/>
          <w:sz w:val="22"/>
          <w:szCs w:val="22"/>
        </w:rPr>
        <w:t xml:space="preserve">O15, F24, I32, J13, O55.</w:t>
      </w:r>
    </w:p>
    <w:p>
      <w:r>
        <w:br w:type="page"/>
      </w:r>
    </w:p>
    <w:p>
      <w:pPr>
        <w:pStyle w:val="Heading1"/>
        <w:spacing w:after="200" w:before="480"/>
      </w:pPr>
      <w:r>
        <w:rPr>
          <w:rFonts w:ascii="Times New Roman" w:cs="Times New Roman" w:eastAsia="Times New Roman" w:hAnsi="Times New Roman"/>
          <w:b/>
          <w:bCs/>
          <w:color w:val="000000"/>
          <w:sz w:val="28"/>
          <w:szCs w:val="28"/>
        </w:rPr>
        <w:t xml:space="preserve">PARTIE I – REVUE THÉORIQUE</w:t>
      </w:r>
    </w:p>
    <w:p>
      <w:pPr>
        <w:pStyle w:val="Heading2"/>
        <w:spacing w:after="160" w:before="320"/>
      </w:pPr>
      <w:r>
        <w:rPr>
          <w:rFonts w:ascii="Times New Roman" w:cs="Times New Roman" w:eastAsia="Times New Roman" w:hAnsi="Times New Roman"/>
          <w:b/>
          <w:bCs/>
          <w:color w:val="000000"/>
          <w:sz w:val="24"/>
          <w:szCs w:val="24"/>
        </w:rPr>
        <w:t xml:space="preserve">I.1. Les théories de la migration et des transferts de fonds</w:t>
      </w:r>
    </w:p>
    <w:p>
      <w:pPr>
        <w:pStyle w:val="Heading3"/>
        <w:spacing w:after="120" w:before="240"/>
      </w:pPr>
      <w:r>
        <w:rPr>
          <w:rFonts w:ascii="Times New Roman" w:cs="Times New Roman" w:eastAsia="Times New Roman" w:hAnsi="Times New Roman"/>
          <w:b/>
          <w:bCs/>
          <w:i/>
          <w:iCs/>
          <w:color w:val="000000"/>
          <w:sz w:val="24"/>
          <w:szCs w:val="24"/>
        </w:rPr>
        <w:t xml:space="preserve">I.1.1. L’approche néoclassique</w:t>
      </w:r>
    </w:p>
    <w:p>
      <w:pPr>
        <w:spacing w:after="120" w:before="120" w:line="360"/>
        <w:ind w:firstLine="720"/>
        <w:jc w:val="both"/>
      </w:pPr>
      <w:r>
        <w:rPr>
          <w:rFonts w:ascii="Times New Roman" w:cs="Times New Roman" w:eastAsia="Times New Roman" w:hAnsi="Times New Roman"/>
          <w:color w:val="000000"/>
          <w:sz w:val="24"/>
          <w:szCs w:val="24"/>
        </w:rPr>
        <w:t xml:space="preserve">La théorie néoclassique de la migration, formalisée par Harris et Todaro (1970) dans leur modèle à deux secteurs, explique les flux migratoires par les différentiels de salaires et d’opportunités d’emploi entre pays d’origine et pays d’accueil. L’individu est modélisé comme un agent rationnel qui migre vers la destination où son revenu espéré, pondéré par la probabilité d’obtenir un emploi, est le plus élevé. Le capital humain de chaque migrant potentiel influence à la fois sa probabilité d’emploi dans le pays d’accueil et ses gains espérés, et entre donc dans le calcul individuel de la décision de migrer.</w:t>
      </w:r>
    </w:p>
    <w:p>
      <w:pPr>
        <w:spacing w:after="120" w:before="120" w:line="360"/>
        <w:ind w:firstLine="720"/>
        <w:jc w:val="both"/>
      </w:pPr>
      <w:r>
        <w:rPr>
          <w:rFonts w:ascii="Times New Roman" w:cs="Times New Roman" w:eastAsia="Times New Roman" w:hAnsi="Times New Roman"/>
          <w:color w:val="000000"/>
          <w:sz w:val="24"/>
          <w:szCs w:val="24"/>
        </w:rPr>
        <w:t xml:space="preserve">Dans ce cadre néoclassique, les transferts de fonds représentent essentiellement la part du revenu gagné à l’étranger que le migrant, mû par l’altéruisme envers ses proches, renvoie dans son pays d’origine. L’approche est centrée sur l’individu migrant et tend à concevoir le transfert comme un comportement de partage spontané, sans mécanisme de coordination explicite. Si elle fournit une base utile pour comprendre les flux macroagrégés de migrants et de fonds, elle reste insuffisante pour rendre compte de la complexité des motivations au transfert, notamment dans le contexte africain où les obligations familiales étendues, les réseaux communautaires et les stratégies collectives jouent un rôle déterminant.</w:t>
      </w:r>
    </w:p>
    <w:p>
      <w:pPr>
        <w:pStyle w:val="Heading3"/>
        <w:spacing w:after="120" w:before="240"/>
      </w:pPr>
      <w:r>
        <w:rPr>
          <w:rFonts w:ascii="Times New Roman" w:cs="Times New Roman" w:eastAsia="Times New Roman" w:hAnsi="Times New Roman"/>
          <w:b/>
          <w:bCs/>
          <w:i/>
          <w:iCs/>
          <w:color w:val="000000"/>
          <w:sz w:val="24"/>
          <w:szCs w:val="24"/>
        </w:rPr>
        <w:t xml:space="preserve">I.1.2. La Nouvelle Économie de la Migration du Travail (NELM)</w:t>
      </w:r>
    </w:p>
    <w:p>
      <w:pPr>
        <w:spacing w:after="120" w:before="120" w:line="360"/>
        <w:ind w:firstLine="720"/>
        <w:jc w:val="both"/>
      </w:pPr>
      <w:r>
        <w:rPr>
          <w:rFonts w:ascii="Times New Roman" w:cs="Times New Roman" w:eastAsia="Times New Roman" w:hAnsi="Times New Roman"/>
          <w:color w:val="000000"/>
          <w:sz w:val="24"/>
          <w:szCs w:val="24"/>
        </w:rPr>
        <w:t xml:space="preserve">La Nouvelle Économie de la Migration du Travail (New Economics of Labor Migration, NELM), proposée par Stark et Bloom (1985), représente une avancée conceptuelle majeure par rapport à l’approche néoclassique. Elle déplace l’unité d’analyse de l’individu vers le ménage, perçu comme une collectivité qui prend des décisions stratégiques de manière collégiale et intertemporelle. La migration n’est plus seulement la réponse individuelle à des différentiels de revenus, mais une stratégie délibérée de diversification des risques adoptée par le ménage face aux imperfections des marchés locaux de crédit, d’assurance et du travail.</w:t>
      </w:r>
    </w:p>
    <w:p>
      <w:pPr>
        <w:spacing w:after="120" w:before="120" w:line="360"/>
        <w:ind w:firstLine="720"/>
        <w:jc w:val="both"/>
      </w:pPr>
      <w:r>
        <w:rPr>
          <w:rFonts w:ascii="Times New Roman" w:cs="Times New Roman" w:eastAsia="Times New Roman" w:hAnsi="Times New Roman"/>
          <w:color w:val="000000"/>
          <w:sz w:val="24"/>
          <w:szCs w:val="24"/>
        </w:rPr>
        <w:t xml:space="preserve">En envoyant un ou plusieurs membres travailler à l’étranger, le ménage accède à des sources de revenus diversifiées, corrélées négativement avec les revenus locaux soumis aux chocs co-variants (sécheresses, récessions). Les transferts reçus constituent alors un mécanisme d’assurance informelle, permettant de lisser la consommation et de financer des investissements en capital physique et humain inaccessibles en l’absence de marchés financiers développés. Ce cadre analytique est particulièrement adapté au contexte sénégalais où la migration internationale s’inscrit dans une longue tradition de stratégies familiales délibérées, notamment dans les régions historiques d’émigration comme Louga, Kébémer, Diourbel et Touba.</w:t>
      </w:r>
    </w:p>
    <w:p>
      <w:pPr>
        <w:pStyle w:val="Heading3"/>
        <w:spacing w:after="120" w:before="240"/>
      </w:pPr>
      <w:r>
        <w:rPr>
          <w:rFonts w:ascii="Times New Roman" w:cs="Times New Roman" w:eastAsia="Times New Roman" w:hAnsi="Times New Roman"/>
          <w:b/>
          <w:bCs/>
          <w:i/>
          <w:iCs/>
          <w:color w:val="000000"/>
          <w:sz w:val="24"/>
          <w:szCs w:val="24"/>
        </w:rPr>
        <w:t xml:space="preserve">I.1.3. Les motivations au transfert : altéruisme, échange et co-assurance</w:t>
      </w:r>
    </w:p>
    <w:p>
      <w:pPr>
        <w:spacing w:after="120" w:before="120" w:line="360"/>
        <w:ind w:firstLine="720"/>
        <w:jc w:val="both"/>
      </w:pPr>
      <w:r>
        <w:rPr>
          <w:rFonts w:ascii="Times New Roman" w:cs="Times New Roman" w:eastAsia="Times New Roman" w:hAnsi="Times New Roman"/>
          <w:color w:val="000000"/>
          <w:sz w:val="24"/>
          <w:szCs w:val="24"/>
        </w:rPr>
        <w:t xml:space="preserve">Lucas et Stark (1985), à partir d’une étude empirique fondatrice sur le Botswana, proposent une taxonomie des motivations au transfert qui reste la référence de la littérature. Ils distinguent trois grandes catégories, non exclusives et pouvant se combiner au sein d’un même ménage.</w:t>
      </w:r>
    </w:p>
    <w:p>
      <w:pPr>
        <w:spacing w:after="120" w:before="120" w:line="360"/>
        <w:ind w:firstLine="720"/>
        <w:jc w:val="both"/>
      </w:pPr>
      <w:r>
        <w:rPr>
          <w:rFonts w:ascii="Times New Roman" w:cs="Times New Roman" w:eastAsia="Times New Roman" w:hAnsi="Times New Roman"/>
          <w:color w:val="000000"/>
          <w:sz w:val="24"/>
          <w:szCs w:val="24"/>
        </w:rPr>
        <w:t xml:space="preserve">L’altéruisme pur repose sur l’hypothèse que le migrant tire une utilité directe du bien-être de sa famille restée au pays. Le montant transféré est alors une fonction croissante de son revenu à l’étranger et décroissante du revenu du ménage bénéficiaire. Cette motivation implique un effet contracyclique des transferts : ceux-ci augmentent lorsque les conditions économiques se dégradent dans le pays d’origine, jouant ainsi un rôle de stabilisateur automatique.</w:t>
      </w:r>
    </w:p>
    <w:p>
      <w:pPr>
        <w:spacing w:after="120" w:before="120" w:line="360"/>
        <w:ind w:firstLine="720"/>
        <w:jc w:val="both"/>
      </w:pPr>
      <w:r>
        <w:rPr>
          <w:rFonts w:ascii="Times New Roman" w:cs="Times New Roman" w:eastAsia="Times New Roman" w:hAnsi="Times New Roman"/>
          <w:color w:val="000000"/>
          <w:sz w:val="24"/>
          <w:szCs w:val="24"/>
        </w:rPr>
        <w:t xml:space="preserve">L’échange repose quant à lui sur l’existence d’un contrat implicite intergénérationnel : le migrant rembourse un investissement antérieur de sa famille (financement des études, du voyage, des premiers frais d’installation) et anticipe en retour un héritage, une gestion de son patrimoine au pays ou une reconnaissance sociale. Dans les sociétés où les marchés de crédit sont peu développés, cet arrangement informel constitue le principal mécanisme de financement de la migration.</w:t>
      </w:r>
    </w:p>
    <w:p>
      <w:pPr>
        <w:spacing w:after="120" w:before="120" w:line="360"/>
        <w:ind w:firstLine="720"/>
        <w:jc w:val="both"/>
      </w:pPr>
      <w:r>
        <w:rPr>
          <w:rFonts w:ascii="Times New Roman" w:cs="Times New Roman" w:eastAsia="Times New Roman" w:hAnsi="Times New Roman"/>
          <w:color w:val="000000"/>
          <w:sz w:val="24"/>
          <w:szCs w:val="24"/>
        </w:rPr>
        <w:t xml:space="preserve">Enfin, la co-assurance renvoie à l’idée que le ménage et le migrant forment un arrangement mutualiste de partage des risques. Chaque partie contribue à soutenir l’autre en cas de choc adverse. Cette motivation est empiriquement difficile à isoler, mais elle explique pourquoi les transferts peuvent augmenter lors des crises dans le pays d’origine même si le migrant n’est pas directement touché.</w:t>
      </w:r>
    </w:p>
    <w:p>
      <w:pPr>
        <w:spacing w:after="120" w:before="120" w:line="360"/>
        <w:ind w:firstLine="720"/>
        <w:jc w:val="both"/>
      </w:pPr>
      <w:r>
        <w:rPr>
          <w:rFonts w:ascii="Times New Roman" w:cs="Times New Roman" w:eastAsia="Times New Roman" w:hAnsi="Times New Roman"/>
          <w:color w:val="000000"/>
          <w:sz w:val="24"/>
          <w:szCs w:val="24"/>
        </w:rPr>
        <w:t xml:space="preserve">Rapoport et Docquier (2006) synthétisent et enrichissent ces contributions en intégrant les dimensions du capital social, des obligations communautaires et de la réputation. Ils montrent que dans de nombreux pays en développement, notamment en Afrique de l’Ouest, les normes sociales et la pression communautaire constituent des motivations au transfert aussi importantes que les motivations économiques individuelles.</w:t>
      </w:r>
    </w:p>
    <w:p>
      <w:pPr>
        <w:pStyle w:val="Heading2"/>
        <w:spacing w:after="160" w:before="320"/>
      </w:pPr>
      <w:r>
        <w:rPr>
          <w:rFonts w:ascii="Times New Roman" w:cs="Times New Roman" w:eastAsia="Times New Roman" w:hAnsi="Times New Roman"/>
          <w:b/>
          <w:bCs/>
          <w:color w:val="000000"/>
          <w:sz w:val="24"/>
          <w:szCs w:val="24"/>
        </w:rPr>
        <w:t xml:space="preserve">I.2. Le cadre conceptuel de la pauvreté multidimensionnelle des enfants</w:t>
      </w:r>
    </w:p>
    <w:p>
      <w:pPr>
        <w:pStyle w:val="Heading3"/>
        <w:spacing w:after="120" w:before="240"/>
      </w:pPr>
      <w:r>
        <w:rPr>
          <w:rFonts w:ascii="Times New Roman" w:cs="Times New Roman" w:eastAsia="Times New Roman" w:hAnsi="Times New Roman"/>
          <w:b/>
          <w:bCs/>
          <w:i/>
          <w:iCs/>
          <w:color w:val="000000"/>
          <w:sz w:val="24"/>
          <w:szCs w:val="24"/>
        </w:rPr>
        <w:t xml:space="preserve">I.2.1. De la pauvreté monétaire à l’approche par les capacités</w:t>
      </w:r>
    </w:p>
    <w:p>
      <w:pPr>
        <w:spacing w:after="120" w:before="120" w:line="360"/>
        <w:ind w:firstLine="720"/>
        <w:jc w:val="both"/>
      </w:pPr>
      <w:r>
        <w:rPr>
          <w:rFonts w:ascii="Times New Roman" w:cs="Times New Roman" w:eastAsia="Times New Roman" w:hAnsi="Times New Roman"/>
          <w:color w:val="000000"/>
          <w:sz w:val="24"/>
          <w:szCs w:val="24"/>
        </w:rPr>
        <w:t xml:space="preserve">La conception dominante de la pauvreté au cours du XXe siècle reposait essentiellement sur une dimension monétaire : un individu est pauvre lorsque son revenu ou sa consommation par tête est inférieur à un seuil défini. Cette approche, opérationnelle et comparable dans le temps et dans l’espace, a longtemps structuré l’action publique internationale, notamment à travers les indicateurs Foster-Greer-Thorbecke (FGT) – taux d’incidence, écart de pauvreté et sévérité.</w:t>
      </w:r>
    </w:p>
    <w:p>
      <w:pPr>
        <w:spacing w:after="120" w:before="120" w:line="360"/>
        <w:ind w:firstLine="720"/>
        <w:jc w:val="both"/>
      </w:pPr>
      <w:r>
        <w:rPr>
          <w:rFonts w:ascii="Times New Roman" w:cs="Times New Roman" w:eastAsia="Times New Roman" w:hAnsi="Times New Roman"/>
          <w:color w:val="000000"/>
          <w:sz w:val="24"/>
          <w:szCs w:val="24"/>
        </w:rPr>
        <w:t xml:space="preserve">La rupture conceptuelle majeure est apportée par Amartya Sen (1985, 1999) à travers l’approche par les capacités (Capability Approach). Sen soutient que la pauvreté doit être conçue comme une privation de capabilités fondamentales, c’est-à-dire des libertés réelles que les individus ont de mener la vie qu’ils valorisent et ont des raisons de valoriser. Dans cette optique, le revenu n’est qu’un moyen parmi d’autres, et non une fin en soi. La pauvreté se manifeste à travers des privations simultanées dans plusieurs dimensions constitutives du bien-être humain : santé, éducation, alimentation, conditions de logement, accès à l’eau et à l’assainissement, participation sociale.</w:t>
      </w:r>
    </w:p>
    <w:p>
      <w:pPr>
        <w:spacing w:after="120" w:before="120" w:line="360"/>
        <w:ind w:firstLine="720"/>
        <w:jc w:val="both"/>
      </w:pPr>
      <w:r>
        <w:rPr>
          <w:rFonts w:ascii="Times New Roman" w:cs="Times New Roman" w:eastAsia="Times New Roman" w:hAnsi="Times New Roman"/>
          <w:color w:val="000000"/>
          <w:sz w:val="24"/>
          <w:szCs w:val="24"/>
        </w:rPr>
        <w:t xml:space="preserve">Cette recomposition conceptuelle a conduit au développement d’outils de mesure spécifiques. L’Indice de Développement Humain (IDH) du PNUD (1990) en constitue la première expression synthétique, suivi par l’Indice de Pauvreté Multidimensionnelle (IPM) d’Alkire et Foster (2007), qui permet non seulement d’identifier les pauvres multidimensionnels, mais aussi de mesurer l’intensité de leurs privations et de décomposer l’indice par dimension et par sous-groupe de population.</w:t>
      </w:r>
    </w:p>
    <w:p>
      <w:pPr>
        <w:pStyle w:val="Heading3"/>
        <w:spacing w:after="120" w:before="240"/>
      </w:pPr>
      <w:r>
        <w:rPr>
          <w:rFonts w:ascii="Times New Roman" w:cs="Times New Roman" w:eastAsia="Times New Roman" w:hAnsi="Times New Roman"/>
          <w:b/>
          <w:bCs/>
          <w:i/>
          <w:iCs/>
          <w:color w:val="000000"/>
          <w:sz w:val="24"/>
          <w:szCs w:val="24"/>
        </w:rPr>
        <w:t xml:space="preserve">I.2.2. La méthode Alkire-Foster et l’IPM</w:t>
      </w:r>
    </w:p>
    <w:p>
      <w:pPr>
        <w:spacing w:after="120" w:before="120" w:line="360"/>
        <w:ind w:firstLine="720"/>
        <w:jc w:val="both"/>
      </w:pPr>
      <w:r>
        <w:rPr>
          <w:rFonts w:ascii="Times New Roman" w:cs="Times New Roman" w:eastAsia="Times New Roman" w:hAnsi="Times New Roman"/>
          <w:color w:val="000000"/>
          <w:sz w:val="24"/>
          <w:szCs w:val="24"/>
        </w:rPr>
        <w:t xml:space="preserve">La méthodologie Alkire-Foster (AF, 2007), développée au sein de l’Oxford Poverty and Human Development Initiative (OPHI), constitue aujourd’hui l’approche de référence pour la mesure de la pauvreté multidimensionnelle. Elle repose sur un double seuillage : un seuil de privation dans chaque dimension (z_j), et un seuil de pauvreté multidimensionnelle (k), définissant le nombre minimal de dimensions dans lesquelles un individu doit être privé pour être considéré comme multidimensionnellement pauvre.</w:t>
      </w:r>
    </w:p>
    <w:p>
      <w:pPr>
        <w:spacing w:after="120" w:before="120" w:line="360"/>
        <w:ind w:firstLine="720"/>
        <w:jc w:val="both"/>
      </w:pPr>
      <w:r>
        <w:rPr>
          <w:rFonts w:ascii="Times New Roman" w:cs="Times New Roman" w:eastAsia="Times New Roman" w:hAnsi="Times New Roman"/>
          <w:color w:val="000000"/>
          <w:sz w:val="24"/>
          <w:szCs w:val="24"/>
        </w:rPr>
        <w:t xml:space="preserve">L’IPM est le produit de deux composantes : l’incidence H (proportion de la population multidimensionnellement pauvre) et l’intensité A (proportion moyenne des privations subies par les pauvres). Formellement : IPM = H × A. Cette décomposition permet d’analyser séparément l’étendue et la profondeur de la pauvreté, de la désagréger par groupe de population, par zone géographique ou par dimension, et de suivre son évolution dans le temps. Au Sénégal, l’ANSD a produit un rapport IPM national à partir des données de l’Enquête de Suivi de la Pauvreté au Sénégal (ESPS 2011), retenant cinq dimensions : santé, éducation, conditions de vie, emploi et gouvernance.</w:t>
      </w:r>
    </w:p>
    <w:p>
      <w:pPr>
        <w:pStyle w:val="Heading3"/>
        <w:spacing w:after="120" w:before="240"/>
      </w:pPr>
      <w:r>
        <w:rPr>
          <w:rFonts w:ascii="Times New Roman" w:cs="Times New Roman" w:eastAsia="Times New Roman" w:hAnsi="Times New Roman"/>
          <w:b/>
          <w:bCs/>
          <w:i/>
          <w:iCs/>
          <w:color w:val="000000"/>
          <w:sz w:val="24"/>
          <w:szCs w:val="24"/>
        </w:rPr>
        <w:t xml:space="preserve">I.2.3. La pauvreté spécifique aux enfants : l’approche MODA</w:t>
      </w:r>
    </w:p>
    <w:p>
      <w:pPr>
        <w:spacing w:after="120" w:before="120" w:line="360"/>
        <w:ind w:firstLine="720"/>
        <w:jc w:val="both"/>
      </w:pPr>
      <w:r>
        <w:rPr>
          <w:rFonts w:ascii="Times New Roman" w:cs="Times New Roman" w:eastAsia="Times New Roman" w:hAnsi="Times New Roman"/>
          <w:color w:val="000000"/>
          <w:sz w:val="24"/>
          <w:szCs w:val="24"/>
        </w:rPr>
        <w:t xml:space="preserve">La pauvreté des enfants ne peut être assimilée à celle des adultes. Les enfants ont des besoins spécifiques liés à leur développement physique, cognitif et émotionnel, et leurs droits sont consacrés par la Convention des Nations Unies relative aux droits de l’enfant. L’UNICEF a développé à cet effet l’approche MODA (Multiple Overlapping Deprivation Analysis), qui analyse les privations multiples et simultanées subies par les enfants selon leur cycle de vie, en définissant pour chaque groupe d’âge des dimensions adaptées à leurs droits et besoins spécifiques.</w:t>
      </w:r>
    </w:p>
    <w:p>
      <w:pPr>
        <w:spacing w:after="120" w:before="120" w:line="360"/>
        <w:ind w:firstLine="720"/>
        <w:jc w:val="both"/>
      </w:pPr>
      <w:r>
        <w:rPr>
          <w:rFonts w:ascii="Times New Roman" w:cs="Times New Roman" w:eastAsia="Times New Roman" w:hAnsi="Times New Roman"/>
          <w:color w:val="000000"/>
          <w:sz w:val="24"/>
          <w:szCs w:val="24"/>
        </w:rPr>
        <w:t xml:space="preserve">L’analyse MODA menée conjointement par l’UNICEF et l’ANSD pour le Sénégal met en évidence des résultats structurants. Environ 50,7 % des enfants sénégalais souffrent de pauvreté multidimensionnelle, contre 43,3 % qui vivent dans des ménages monétairement pauvres – soit un écart de 7,4 points soulignant la pertinence de l’approche multidimensionnelle. Le taux de privation en milieu rural (66,5 %) est près de deux fois et demie supérieur à celui observé en milieu urbain (28,1 %). Les régions de Kédougou (82,1 %), Kolda (79,4 %) et Sédhiou (78,0 %) affichent les taux les plus élevés.</w:t>
      </w:r>
    </w:p>
    <w:p>
      <w:pPr>
        <w:pStyle w:val="Heading2"/>
        <w:spacing w:after="160" w:before="320"/>
      </w:pPr>
      <w:r>
        <w:rPr>
          <w:rFonts w:ascii="Times New Roman" w:cs="Times New Roman" w:eastAsia="Times New Roman" w:hAnsi="Times New Roman"/>
          <w:b/>
          <w:bCs/>
          <w:color w:val="000000"/>
          <w:sz w:val="24"/>
          <w:szCs w:val="24"/>
        </w:rPr>
        <w:t xml:space="preserve">I.3. Les canaux théoriques de transmission des transferts vers le bien-être infantile</w:t>
      </w:r>
    </w:p>
    <w:p>
      <w:pPr>
        <w:pStyle w:val="Heading3"/>
        <w:spacing w:after="120" w:before="240"/>
      </w:pPr>
      <w:r>
        <w:rPr>
          <w:rFonts w:ascii="Times New Roman" w:cs="Times New Roman" w:eastAsia="Times New Roman" w:hAnsi="Times New Roman"/>
          <w:b/>
          <w:bCs/>
          <w:i/>
          <w:iCs/>
          <w:color w:val="000000"/>
          <w:sz w:val="24"/>
          <w:szCs w:val="24"/>
        </w:rPr>
        <w:t xml:space="preserve">I.3.1. Le canal des revenus et de la consommation</w:t>
      </w:r>
    </w:p>
    <w:p>
      <w:pPr>
        <w:spacing w:after="120" w:before="120" w:line="360"/>
        <w:ind w:firstLine="720"/>
        <w:jc w:val="both"/>
      </w:pPr>
      <w:r>
        <w:rPr>
          <w:rFonts w:ascii="Times New Roman" w:cs="Times New Roman" w:eastAsia="Times New Roman" w:hAnsi="Times New Roman"/>
          <w:color w:val="000000"/>
          <w:sz w:val="24"/>
          <w:szCs w:val="24"/>
        </w:rPr>
        <w:t xml:space="preserve">Le canal le plus direct et le plus immédiat par lequel les transferts de migrants affectent le bien-être des enfants est celui de l’augmentation des revenus disponibles du ménage. Les transferts constituent un apport de liquidités qui permet aux ménages de consommer davantage, tant en quantité qu’en qualité. Les travaux de De la Garza et Lowell (2002) montrent que les ménages bénéficiaires consacrent une fraction significative des transferts à l’alimentation, à l’habillement et aux soins de santé. Dans le contexte sénégalais, les études confirment que les transferts servent principalement à couvrir les besoins de base de la famille : nourriture, loyer, dépenses scolaires et santé.</w:t>
      </w:r>
    </w:p>
    <w:p>
      <w:pPr>
        <w:pStyle w:val="Heading3"/>
        <w:spacing w:after="120" w:before="240"/>
      </w:pPr>
      <w:r>
        <w:rPr>
          <w:rFonts w:ascii="Times New Roman" w:cs="Times New Roman" w:eastAsia="Times New Roman" w:hAnsi="Times New Roman"/>
          <w:b/>
          <w:bCs/>
          <w:i/>
          <w:iCs/>
          <w:color w:val="000000"/>
          <w:sz w:val="24"/>
          <w:szCs w:val="24"/>
        </w:rPr>
        <w:t xml:space="preserve">I.3.2. Le canal de l’investissement en capital humain</w:t>
      </w:r>
    </w:p>
    <w:p>
      <w:pPr>
        <w:spacing w:after="120" w:before="120" w:line="360"/>
        <w:ind w:firstLine="720"/>
        <w:jc w:val="both"/>
      </w:pPr>
      <w:r>
        <w:rPr>
          <w:rFonts w:ascii="Times New Roman" w:cs="Times New Roman" w:eastAsia="Times New Roman" w:hAnsi="Times New Roman"/>
          <w:color w:val="000000"/>
          <w:sz w:val="24"/>
          <w:szCs w:val="24"/>
        </w:rPr>
        <w:t xml:space="preserve">Au-delà de la consommation courante, les transferts peuvent financer des investissements en capital humain, dont les bénéfices se manifestent sur le long terme. Gupta, Pattillo et Wagh (2009) montrent que les transferts améliorent le taux de scolarisation des enfants à l’école primaire dans de nombreux pays en développement. En levant la contrainte budgétaire, ils permettent aux ménages de supporter les coûts directs (frais d’inscription, fournitures, uniformes) et indirects (manque à gagner lié à la non-participation des enfants au travail agricole) de la scolarisation. De même, Stark et Lucas (1988) et Giuliano et Ruiz-Arranz (2005) ont mis en évidence l’impact positif des transferts sur l’épargne privée, ouvrant la voie à des investissements dans l’éducation et la santé sur le moyen terme.</w:t>
      </w:r>
    </w:p>
    <w:p>
      <w:pPr>
        <w:pStyle w:val="Heading3"/>
        <w:spacing w:after="120" w:before="240"/>
      </w:pPr>
      <w:r>
        <w:rPr>
          <w:rFonts w:ascii="Times New Roman" w:cs="Times New Roman" w:eastAsia="Times New Roman" w:hAnsi="Times New Roman"/>
          <w:b/>
          <w:bCs/>
          <w:i/>
          <w:iCs/>
          <w:color w:val="000000"/>
          <w:sz w:val="24"/>
          <w:szCs w:val="24"/>
        </w:rPr>
        <w:t xml:space="preserve">I.3.3. Le canal de l’assurance et de la réduction de la vulnérabilité</w:t>
      </w:r>
    </w:p>
    <w:p>
      <w:pPr>
        <w:spacing w:after="120" w:before="120" w:line="360"/>
        <w:ind w:firstLine="720"/>
        <w:jc w:val="both"/>
      </w:pPr>
      <w:r>
        <w:rPr>
          <w:rFonts w:ascii="Times New Roman" w:cs="Times New Roman" w:eastAsia="Times New Roman" w:hAnsi="Times New Roman"/>
          <w:color w:val="000000"/>
          <w:sz w:val="24"/>
          <w:szCs w:val="24"/>
        </w:rPr>
        <w:t xml:space="preserve">Les transferts jouent un rôle d’assurance contre les chocs économiques, climatiques et sanitaires. En sécurisant les revenus du ménage en période de difficulté, ils permettent de maintenir la scolarisation des enfants et l’accès aux soins, évitant les comportements d’ajustement négatifs (déscolarisation, réduction des repas, report des consultations médicales) souvent observés dans les ménages vulnérables. Ce mécanisme contracyclique est théoriquement important : il explique pourquoi l’impact des transferts sur le bien-être des enfants peut être plus significatif lors des périodes de crise que dans les périodes de conjoncture favorable.</w:t>
      </w:r>
    </w:p>
    <w:p>
      <w:pPr>
        <w:pStyle w:val="Heading3"/>
        <w:spacing w:after="120" w:before="240"/>
      </w:pPr>
      <w:r>
        <w:rPr>
          <w:rFonts w:ascii="Times New Roman" w:cs="Times New Roman" w:eastAsia="Times New Roman" w:hAnsi="Times New Roman"/>
          <w:b/>
          <w:bCs/>
          <w:i/>
          <w:iCs/>
          <w:color w:val="000000"/>
          <w:sz w:val="24"/>
          <w:szCs w:val="24"/>
        </w:rPr>
        <w:t xml:space="preserve">I.3.4. Les limites théoriques : contre-effets et conditions de l’efficacité</w:t>
      </w:r>
    </w:p>
    <w:p>
      <w:pPr>
        <w:spacing w:after="120" w:before="120" w:line="360"/>
        <w:ind w:firstLine="720"/>
        <w:jc w:val="both"/>
      </w:pPr>
      <w:r>
        <w:rPr>
          <w:rFonts w:ascii="Times New Roman" w:cs="Times New Roman" w:eastAsia="Times New Roman" w:hAnsi="Times New Roman"/>
          <w:color w:val="000000"/>
          <w:sz w:val="24"/>
          <w:szCs w:val="24"/>
        </w:rPr>
        <w:t xml:space="preserve">La littérature théorique identifie également plusieurs contre-arguments à l’impact positif des transferts. L’école « pessimiste », issue notamment de la théorie de la dépendance, souligne le risque d’une dépendance structurelle des ménages bénéficiaires vis-à-vis des envois de fonds, d’une réduction de l’offre de travail locale (« effet de découragement ») et d’une possible aggravation des inégalités intracommunautaires. En effet, seuls les ménages disposant des ressources initiales suffisantes peuvent envoyer un membre à l’étranger, ce qui tend à exclure les ménages les plus démunis des bénéfices directs des transferts.</w:t>
      </w:r>
    </w:p>
    <w:p>
      <w:pPr>
        <w:spacing w:after="120" w:before="120" w:line="360"/>
        <w:ind w:firstLine="720"/>
        <w:jc w:val="both"/>
      </w:pPr>
      <w:r>
        <w:rPr>
          <w:rFonts w:ascii="Times New Roman" w:cs="Times New Roman" w:eastAsia="Times New Roman" w:hAnsi="Times New Roman"/>
          <w:color w:val="000000"/>
          <w:sz w:val="24"/>
          <w:szCs w:val="24"/>
        </w:rPr>
        <w:t xml:space="preserve">Par ailleurs, l’absence physique d’un parent migrant peut avoir des conséquences négatives sur les enfants « laissés derrière » (left-behind children) : instabilité émotionnelle, moindre supervision parentale, vulnérabilité psychosociale. Ces effets, rarement capturés par les indicateurs multidimensionnels traditionnels, constituent un angle mort important de la littérature sur les transferts et le bien-être infantile. Enfin, Cogneau et Gubert (2006) rappellent que si les ménages ne peuvent pas surmonter les obstacles structurels au développement – imperfections des marchés, défaillances institutionnelles, mauvaises politiques publiques –, les transferts ne peuvent avoir qu’un effet limité et transitoire sur la pauvreté structurelle.</w:t>
      </w:r>
    </w:p>
    <w:p>
      <w:pPr>
        <w:spacing w:after="60" w:before="60"/>
      </w:pPr>
      <w:r>
        <w:t xml:space="preserve"/>
      </w:r>
    </w:p>
    <w:p>
      <w:r>
        <w:br w:type="page"/>
      </w:r>
    </w:p>
    <w:p>
      <w:pPr>
        <w:pStyle w:val="Heading1"/>
        <w:spacing w:after="200" w:before="480"/>
      </w:pPr>
      <w:r>
        <w:rPr>
          <w:rFonts w:ascii="Times New Roman" w:cs="Times New Roman" w:eastAsia="Times New Roman" w:hAnsi="Times New Roman"/>
          <w:b/>
          <w:bCs/>
          <w:color w:val="000000"/>
          <w:sz w:val="28"/>
          <w:szCs w:val="28"/>
        </w:rPr>
        <w:t xml:space="preserve">PARTIE II – REVUE EMPIRIQUE</w:t>
      </w:r>
    </w:p>
    <w:p>
      <w:pPr>
        <w:pStyle w:val="Heading2"/>
        <w:spacing w:after="160" w:before="320"/>
      </w:pPr>
      <w:r>
        <w:rPr>
          <w:rFonts w:ascii="Times New Roman" w:cs="Times New Roman" w:eastAsia="Times New Roman" w:hAnsi="Times New Roman"/>
          <w:b/>
          <w:bCs/>
          <w:color w:val="000000"/>
          <w:sz w:val="24"/>
          <w:szCs w:val="24"/>
        </w:rPr>
        <w:t xml:space="preserve">II.1. Les évidences empiriques internationales et africaines</w:t>
      </w:r>
    </w:p>
    <w:p>
      <w:pPr>
        <w:pStyle w:val="Heading3"/>
        <w:spacing w:after="120" w:before="240"/>
      </w:pPr>
      <w:r>
        <w:rPr>
          <w:rFonts w:ascii="Times New Roman" w:cs="Times New Roman" w:eastAsia="Times New Roman" w:hAnsi="Times New Roman"/>
          <w:b/>
          <w:bCs/>
          <w:i/>
          <w:iCs/>
          <w:color w:val="000000"/>
          <w:sz w:val="24"/>
          <w:szCs w:val="24"/>
        </w:rPr>
        <w:t xml:space="preserve">II.1.1. Impact des transferts sur l’éducation des enfants</w:t>
      </w:r>
    </w:p>
    <w:p>
      <w:pPr>
        <w:spacing w:after="120" w:before="120" w:line="360"/>
        <w:ind w:firstLine="720"/>
        <w:jc w:val="both"/>
      </w:pPr>
      <w:r>
        <w:rPr>
          <w:rFonts w:ascii="Times New Roman" w:cs="Times New Roman" w:eastAsia="Times New Roman" w:hAnsi="Times New Roman"/>
          <w:color w:val="000000"/>
          <w:sz w:val="24"/>
          <w:szCs w:val="24"/>
        </w:rPr>
        <w:t xml:space="preserve">La relation entre transferts de migrants et éducation des enfants est l’une des plus étudiées dans la littérature empirique du développement. Adams et Cuecuecha (2010), à partir de données sur le Guatemala, montrent que les ménages bénéficiaires de transferts allouent une proportion significativement plus importante de leurs dépenses marginales à l’éducation et à la santé par rapport aux ménages non bénéficiaires, suggérant un effet de composition dans l’utilisation des revenus transférés. Gyimah-Brempong et Asiedu (2015), pour le Ghana, confirment que les transferts stimulent l’investissement en éducation en agissant comme un relâchement de la contrainte budgétaire des ménages.</w:t>
      </w:r>
    </w:p>
    <w:p>
      <w:pPr>
        <w:spacing w:after="120" w:before="120" w:line="360"/>
        <w:ind w:firstLine="720"/>
        <w:jc w:val="both"/>
      </w:pPr>
      <w:r>
        <w:rPr>
          <w:rFonts w:ascii="Times New Roman" w:cs="Times New Roman" w:eastAsia="Times New Roman" w:hAnsi="Times New Roman"/>
          <w:color w:val="000000"/>
          <w:sz w:val="24"/>
          <w:szCs w:val="24"/>
        </w:rPr>
        <w:t xml:space="preserve">Pour l’Afrique subsaharienne dans son ensemble, Amakom et Iheoma (2014) examinent 18 pays à l’aide d’estimations par doubles moindres carrés (2SLS) et trouvent un impact positif des transferts sur la scolarisation scolaire, bien que la taille de l’effet varie considérablement selon les contextes nationaux. Amega (2018), utilisant la méthode des moments généralisés systémiques (System GMM) sur un panel de 46 pays d’Afrique subsaharienne couvrant la période 1975-2014, établit que les transferts améliorent significativement les résultats scolaires et met en évidence une synergie bidirectionnelle positive entre éducation et santé. Ces résultats sont robustes à l’inclusion de variables de contrôle telles que la croissance du PIB par habitant, le degré d’ouverture commerciale et la taille de la population.</w:t>
      </w:r>
    </w:p>
    <w:p>
      <w:pPr>
        <w:spacing w:after="120" w:before="120" w:line="360"/>
        <w:ind w:firstLine="720"/>
        <w:jc w:val="both"/>
      </w:pPr>
      <w:r>
        <w:rPr>
          <w:rFonts w:ascii="Times New Roman" w:cs="Times New Roman" w:eastAsia="Times New Roman" w:hAnsi="Times New Roman"/>
          <w:color w:val="000000"/>
          <w:sz w:val="24"/>
          <w:szCs w:val="24"/>
        </w:rPr>
        <w:t xml:space="preserve">En revanche, certains travaux font état d’effets négatifs ou ambigus. Dans les contextes où la migration implique le départ d’un parent, les enfants laissés derrière peuvent voir leurs résultats scolaires se dégrader faute de supervision et d’encadrement suffisants, même si leurs conditions matérielles s’améliorent grâce aux transferts. Cet arbitrage entre ressources financières et présence parentale constitue une tension empirique importante dans la littérature.</w:t>
      </w:r>
    </w:p>
    <w:p>
      <w:pPr>
        <w:pStyle w:val="Heading3"/>
        <w:spacing w:after="120" w:before="240"/>
      </w:pPr>
      <w:r>
        <w:rPr>
          <w:rFonts w:ascii="Times New Roman" w:cs="Times New Roman" w:eastAsia="Times New Roman" w:hAnsi="Times New Roman"/>
          <w:b/>
          <w:bCs/>
          <w:i/>
          <w:iCs/>
          <w:color w:val="000000"/>
          <w:sz w:val="24"/>
          <w:szCs w:val="24"/>
        </w:rPr>
        <w:t xml:space="preserve">II.1.2. Impact des transferts sur la santé et la nutrition</w:t>
      </w:r>
    </w:p>
    <w:p>
      <w:pPr>
        <w:spacing w:after="120" w:before="120" w:line="360"/>
        <w:ind w:firstLine="720"/>
        <w:jc w:val="both"/>
      </w:pPr>
      <w:r>
        <w:rPr>
          <w:rFonts w:ascii="Times New Roman" w:cs="Times New Roman" w:eastAsia="Times New Roman" w:hAnsi="Times New Roman"/>
          <w:color w:val="000000"/>
          <w:sz w:val="24"/>
          <w:szCs w:val="24"/>
        </w:rPr>
        <w:t xml:space="preserve">La littérature empirique met en évidence des effets généralement positifs des transferts sur les indicateurs de santé infantile. Mohapatra et Ratha (2011) synthétisent une large littérature montrant que les transferts augmentent les dépenses en santé, en éducation et en nutrition des ménages, avec des effets positifs sur la mortalité infantile et la prévalence de la malnutrition. Amega (2018) confirme ces résultats pour l’Afrique subsaharienne et note qu’il existe une complémentarité entre les effets sur la santé et ceux sur l’éducation.</w:t>
      </w:r>
    </w:p>
    <w:p>
      <w:pPr>
        <w:spacing w:after="120" w:before="120" w:line="360"/>
        <w:ind w:firstLine="720"/>
        <w:jc w:val="both"/>
      </w:pPr>
      <w:r>
        <w:rPr>
          <w:rFonts w:ascii="Times New Roman" w:cs="Times New Roman" w:eastAsia="Times New Roman" w:hAnsi="Times New Roman"/>
          <w:color w:val="000000"/>
          <w:sz w:val="24"/>
          <w:szCs w:val="24"/>
        </w:rPr>
        <w:t xml:space="preserve">Mohammed (2022) apporte un éclairage institutionnel important : dans les pays d’Afrique subsaharienne caractérisés par de faibles niveaux institutionnels, les transferts jouent un rôle substitutif en finançant le développement humain là où les services publics sont défaillants. Ce résultat, obtenu par la méthode System GMM pour contourner le problème d’endogénéité associé aux transferts, suggère une relation de substitution entre qualité institutionnelle et efficacité des transferts en matière de développement humain.</w:t>
      </w:r>
    </w:p>
    <w:p>
      <w:pPr>
        <w:spacing w:after="120" w:before="120" w:line="360"/>
        <w:ind w:firstLine="720"/>
        <w:jc w:val="both"/>
      </w:pPr>
      <w:r>
        <w:rPr>
          <w:rFonts w:ascii="Times New Roman" w:cs="Times New Roman" w:eastAsia="Times New Roman" w:hAnsi="Times New Roman"/>
          <w:color w:val="000000"/>
          <w:sz w:val="24"/>
          <w:szCs w:val="24"/>
        </w:rPr>
        <w:t xml:space="preserve">S’agissant de la nutrition, les transferts agissent principalement via l’amélioration de la sécurité alimentaire des ménages. En permettant une consommation alimentaire plus diversifiée et en qualité, ils contribuent à réduire la prévalence de la malnutrition chroniquecommunément mesurée par les indicateurs de retard de croissance (stunting) et d’insuffisance pondérale. Ces effets sont toutefois conditionnés par les pratiques alimentaires des ménages et la disponibilité locale des aliments de qualité.</w:t>
      </w:r>
    </w:p>
    <w:p>
      <w:pPr>
        <w:pStyle w:val="Heading3"/>
        <w:spacing w:after="120" w:before="240"/>
      </w:pPr>
      <w:r>
        <w:rPr>
          <w:rFonts w:ascii="Times New Roman" w:cs="Times New Roman" w:eastAsia="Times New Roman" w:hAnsi="Times New Roman"/>
          <w:b/>
          <w:bCs/>
          <w:i/>
          <w:iCs/>
          <w:color w:val="000000"/>
          <w:sz w:val="24"/>
          <w:szCs w:val="24"/>
        </w:rPr>
        <w:t xml:space="preserve">II.1.3. Impact des transferts sur les conditions de vie</w:t>
      </w:r>
    </w:p>
    <w:p>
      <w:pPr>
        <w:spacing w:after="120" w:before="120" w:line="360"/>
        <w:ind w:firstLine="720"/>
        <w:jc w:val="both"/>
      </w:pPr>
      <w:r>
        <w:rPr>
          <w:rFonts w:ascii="Times New Roman" w:cs="Times New Roman" w:eastAsia="Times New Roman" w:hAnsi="Times New Roman"/>
          <w:color w:val="000000"/>
          <w:sz w:val="24"/>
          <w:szCs w:val="24"/>
        </w:rPr>
        <w:t xml:space="preserve">Au-delà de l’éducation et de la santé, les transferts influencent les conditions de vie matérielles des ménages et, par extension, le bien-être des enfants qui y résident. L’amélioration du logement constitue l’un des postes d’utilisation les plus courants des transferts en Afrique subsaharienne : construction ou rénovation de la maison familiale, amélioration de l’accès à l’eau, à l’assainissement et à l’électricité. Ces améliorations des conditions de logement ont un impact direct sur la santé des enfants (réduction des maladies diarrhéiques, des infections respiratoires) et sur leurs conditions d’étude.</w:t>
      </w:r>
    </w:p>
    <w:p>
      <w:pPr>
        <w:spacing w:after="120" w:before="120" w:line="360"/>
        <w:ind w:firstLine="720"/>
        <w:jc w:val="both"/>
      </w:pPr>
      <w:r>
        <w:rPr>
          <w:rFonts w:ascii="Times New Roman" w:cs="Times New Roman" w:eastAsia="Times New Roman" w:hAnsi="Times New Roman"/>
          <w:color w:val="000000"/>
          <w:sz w:val="24"/>
          <w:szCs w:val="24"/>
        </w:rPr>
        <w:t xml:space="preserve">La dimension collective des transferts mérite également d’être soulignée. Dans de nombreuses zones d’émigration sénégalaises, les associations de la diaspora financent des infrastructures communautaires – écoles, dispensaires, puits, centres communautaires – dont les bénéfices s’étendent à l’ensemble de la communauté, y compris aux ménages qui ne reçoivent pas de transferts individuels. Ce canal collectif des transferts, souvent négligé par les études quantitatives fondées sur des données de ménages, représente un vecteur important d’amélioration des conditions de vie des enfants dans les zones historiques d’émigration.</w:t>
      </w:r>
    </w:p>
    <w:p>
      <w:pPr>
        <w:pStyle w:val="Heading2"/>
        <w:spacing w:after="160" w:before="320"/>
      </w:pPr>
      <w:r>
        <w:rPr>
          <w:rFonts w:ascii="Times New Roman" w:cs="Times New Roman" w:eastAsia="Times New Roman" w:hAnsi="Times New Roman"/>
          <w:b/>
          <w:bCs/>
          <w:color w:val="000000"/>
          <w:sz w:val="24"/>
          <w:szCs w:val="24"/>
        </w:rPr>
        <w:t xml:space="preserve">II.2. Les études empiriques spécifiques au Sénégal</w:t>
      </w:r>
    </w:p>
    <w:p>
      <w:pPr>
        <w:pStyle w:val="Heading3"/>
        <w:spacing w:after="120" w:before="240"/>
      </w:pPr>
      <w:r>
        <w:rPr>
          <w:rFonts w:ascii="Times New Roman" w:cs="Times New Roman" w:eastAsia="Times New Roman" w:hAnsi="Times New Roman"/>
          <w:b/>
          <w:bCs/>
          <w:i/>
          <w:iCs/>
          <w:color w:val="000000"/>
          <w:sz w:val="24"/>
          <w:szCs w:val="24"/>
        </w:rPr>
        <w:t xml:space="preserve">II.2.1. L’impact sur les dépenses et le niveau de vie des ménages</w:t>
      </w:r>
    </w:p>
    <w:p>
      <w:pPr>
        <w:spacing w:after="120" w:before="120" w:line="360"/>
        <w:ind w:firstLine="720"/>
        <w:jc w:val="both"/>
      </w:pPr>
      <w:r>
        <w:rPr>
          <w:rFonts w:ascii="Times New Roman" w:cs="Times New Roman" w:eastAsia="Times New Roman" w:hAnsi="Times New Roman"/>
          <w:color w:val="000000"/>
          <w:sz w:val="24"/>
          <w:szCs w:val="24"/>
        </w:rPr>
        <w:t xml:space="preserve">L’étude fondatrice de Diagne et Diane (2008), réalisée à partir des données de l’Enquête Sénégalaise Auprès des Ménages (ESAM II) et publiée par la Direction de la Prévision et des Études Économiques (DPEE), constitue la référence empirique fondamentale pour l’analyse de l’impact des transferts sur la pauvreté au Sénégal. En utilisant une approche microéconomique, les auteurs montrent que les transferts exercent un impact positif et significatif sur les dépenses par tête au niveau national. Cependant, plusieurs hétérogénéités importantes émergent de l’analyse.</w:t>
      </w:r>
    </w:p>
    <w:p>
      <w:pPr>
        <w:spacing w:after="120" w:before="120" w:line="360"/>
        <w:ind w:firstLine="720"/>
        <w:jc w:val="both"/>
      </w:pPr>
      <w:r>
        <w:rPr>
          <w:rFonts w:ascii="Times New Roman" w:cs="Times New Roman" w:eastAsia="Times New Roman" w:hAnsi="Times New Roman"/>
          <w:color w:val="000000"/>
          <w:sz w:val="24"/>
          <w:szCs w:val="24"/>
        </w:rPr>
        <w:t xml:space="preserve">En premier lieu, un biais spatial marqué est observé : les dépenses par tête sont davantage sensibles aux transferts à Dakar et dans les autres villes qu’en milieu rural, ce qui suggère que les ménages urbains ont une plus grande capacité à valoriser les fonds reçus, en raison notamment d’un meilleur accès aux marchés et aux services. En second lieu, l’analyse par quintiles de revenu révèle que les ménages plus aisés bénéficient proportionnellement davantage des transferts, ce qui souligne le risque d’un effet potentiellement inégalitaire. Enfin, si l’incidence et la profondeur de la pauvreté se réduisent en présence de transferts, la sévérité de la pauvreté extrême peut s’aggraver, indiquant que les ménages les plus démunis, qui n’ont généralement pas les ressources nécessaires pour envoyer un membre à l’étranger, ne bénéficient pas ou peu des transferts.</w:t>
      </w:r>
    </w:p>
    <w:p>
      <w:pPr>
        <w:pStyle w:val="Heading3"/>
        <w:spacing w:after="120" w:before="240"/>
      </w:pPr>
      <w:r>
        <w:rPr>
          <w:rFonts w:ascii="Times New Roman" w:cs="Times New Roman" w:eastAsia="Times New Roman" w:hAnsi="Times New Roman"/>
          <w:b/>
          <w:bCs/>
          <w:i/>
          <w:iCs/>
          <w:color w:val="000000"/>
          <w:sz w:val="24"/>
          <w:szCs w:val="24"/>
        </w:rPr>
        <w:t xml:space="preserve">II.2.2. L’approche multidimensionnelle de Barikalla (2024)</w:t>
      </w:r>
    </w:p>
    <w:p>
      <w:pPr>
        <w:spacing w:after="120" w:before="120" w:line="360"/>
        <w:ind w:firstLine="720"/>
        <w:jc w:val="both"/>
      </w:pPr>
      <w:r>
        <w:rPr>
          <w:rFonts w:ascii="Times New Roman" w:cs="Times New Roman" w:eastAsia="Times New Roman" w:hAnsi="Times New Roman"/>
          <w:color w:val="000000"/>
          <w:sz w:val="24"/>
          <w:szCs w:val="24"/>
        </w:rPr>
        <w:t xml:space="preserve">L’étude de Barikalla (2024), publiée dans la Revue Economie, Gestion et Société (REGS), constitue à ce jour la contribution la plus directement pertinente au regard de la problématique de la présente revue. En exploitant les données de l’ESPS 2011, l’auteur construit un Indicateur Composite de Pauvreté (ICP) fondé sur l’approche non monétaire et analyse la relation entre les transferts monétaires des migrants et cet indicateur de pauvreté multidimensionnelle. Les résultats mettent en évidence une relation négative et significative entre le fait de recevoir des transferts et le niveau de privation multidimensionnelle du ménage, suggérant que les transferts contribuent à réduire les privations non monétaires, notamment dans les dimensions relatives à l’accès aux services de base.</w:t>
      </w:r>
    </w:p>
    <w:p>
      <w:pPr>
        <w:pStyle w:val="Heading3"/>
        <w:spacing w:after="120" w:before="240"/>
      </w:pPr>
      <w:r>
        <w:rPr>
          <w:rFonts w:ascii="Times New Roman" w:cs="Times New Roman" w:eastAsia="Times New Roman" w:hAnsi="Times New Roman"/>
          <w:b/>
          <w:bCs/>
          <w:i/>
          <w:iCs/>
          <w:color w:val="000000"/>
          <w:sz w:val="24"/>
          <w:szCs w:val="24"/>
        </w:rPr>
        <w:t xml:space="preserve">II.2.3. L’impact sur le capital humain et la protection sociale des enfants</w:t>
      </w:r>
    </w:p>
    <w:p>
      <w:pPr>
        <w:spacing w:after="120" w:before="120" w:line="360"/>
        <w:ind w:firstLine="720"/>
        <w:jc w:val="both"/>
      </w:pPr>
      <w:r>
        <w:rPr>
          <w:rFonts w:ascii="Times New Roman" w:cs="Times New Roman" w:eastAsia="Times New Roman" w:hAnsi="Times New Roman"/>
          <w:color w:val="000000"/>
          <w:sz w:val="24"/>
          <w:szCs w:val="24"/>
        </w:rPr>
        <w:t xml:space="preserve">Les travaux portant sur la protection sociale des enfants dans les zones historiques d’émigration sénégalaises, notamment les régions de Kébémer et Louga, montrent que les envois d’argent de la diaspora constituent une forme non négligeable de protection sociale informelle pour les ménages. Les auteurs observent que les ménages bénéficiaires de transferts assurent à leurs enfants un meilleur accès à l’eau potable, de meilleures conditions sanitaires et une scolarisation améliorée, tout en réduisant le recours au travail des enfants.</w:t>
      </w:r>
    </w:p>
    <w:p>
      <w:pPr>
        <w:spacing w:after="120" w:before="120" w:line="360"/>
        <w:ind w:firstLine="720"/>
        <w:jc w:val="both"/>
      </w:pPr>
      <w:r>
        <w:rPr>
          <w:rFonts w:ascii="Times New Roman" w:cs="Times New Roman" w:eastAsia="Times New Roman" w:hAnsi="Times New Roman"/>
          <w:color w:val="000000"/>
          <w:sz w:val="24"/>
          <w:szCs w:val="24"/>
        </w:rPr>
        <w:t xml:space="preserve">Par ailleurs, les études portant sur l’impact des transferts sur l’épargne privée au Sénégal montrent un effet positif et significatif, en lien avec les travaux de Stark et Lucas (1988) et Giuliano et Ruiz-Arranz (2005). Cette épargne constituée grâce aux transferts peut être mobilisée pour financer des dépenses en capital humain à plus long terme, notamment l’enseignement secondaire et supérieur dont les coûts sont nettement plus élevés que le primaire. Les recherches montrent également que l’amélioration du taux de scolarisation à l’école primaire induite par les transferts constitue un canal de transmission vers une augmentation de long terme du capital humain (Gupta, Pattillo et Wagh, 2009).</w:t>
      </w:r>
    </w:p>
    <w:p>
      <w:pPr>
        <w:pStyle w:val="Heading3"/>
        <w:spacing w:after="120" w:before="240"/>
      </w:pPr>
      <w:r>
        <w:rPr>
          <w:rFonts w:ascii="Times New Roman" w:cs="Times New Roman" w:eastAsia="Times New Roman" w:hAnsi="Times New Roman"/>
          <w:b/>
          <w:bCs/>
          <w:i/>
          <w:iCs/>
          <w:color w:val="000000"/>
          <w:sz w:val="24"/>
          <w:szCs w:val="24"/>
        </w:rPr>
        <w:t xml:space="preserve">II.2.4. Les données macroagrégées : poids et évolution des transferts au Sénégal</w:t>
      </w:r>
    </w:p>
    <w:p>
      <w:pPr>
        <w:spacing w:after="120" w:before="120" w:line="360"/>
        <w:ind w:firstLine="720"/>
        <w:jc w:val="both"/>
      </w:pPr>
      <w:r>
        <w:rPr>
          <w:rFonts w:ascii="Times New Roman" w:cs="Times New Roman" w:eastAsia="Times New Roman" w:hAnsi="Times New Roman"/>
          <w:color w:val="000000"/>
          <w:sz w:val="24"/>
          <w:szCs w:val="24"/>
        </w:rPr>
        <w:t xml:space="preserve">Pour apprécier l’ampleur potentielle de l’impact des transferts sur le bien-être des enfants au Sénégal, il est indispensable de prendre la mesure du poids macroagrégé de ces flux. Les données de la Banque Centrale des États de l’Afrique de l’Ouest (BCEAO) attestent d’une progression spectaculaire et continue des envois de fonds de la diaspora sénégalaise sur les deux dernières décennies : de 132 milliards FCFA en l’an 2000, les transferts sont passés à 903,8 milliards en 2015, puis à 1 700 milliards en 2022 et à 2 211 milliards FCFA en 2024, soit environ 3,8 milliards USD. Ces flux représentent désormais près de 12 % du PIB national.</w:t>
      </w:r>
    </w:p>
    <w:p>
      <w:pPr>
        <w:spacing w:after="120" w:before="120" w:line="360"/>
        <w:ind w:firstLine="720"/>
        <w:jc w:val="both"/>
      </w:pPr>
      <w:r>
        <w:rPr>
          <w:rFonts w:ascii="Times New Roman" w:cs="Times New Roman" w:eastAsia="Times New Roman" w:hAnsi="Times New Roman"/>
          <w:color w:val="000000"/>
          <w:sz w:val="24"/>
          <w:szCs w:val="24"/>
        </w:rPr>
        <w:t xml:space="preserve">Cette progression positionne le Sénégal parmi les cinq premiers bénéficiaires africains de transferts de fonds, selon la Banque mondiale, captant environ 11 % de l’enveloppe continentale en 2023. Les principaux pays d’envoi sont la France, l’Italie et l’Espagne, reflet de l’histoire migratoire sénégalaise. Ce contexte macroagrégé est important car il souligne l’enjeu considérable que représente une meilleure canalisation de ces flux vers les dépenses bénéficiant directement aux enfants, notamment dans les domaines de l’éducation, de la santé et des conditions de logement.</w:t>
      </w:r>
    </w:p>
    <w:p>
      <w:pPr>
        <w:pStyle w:val="Heading2"/>
        <w:spacing w:after="160" w:before="320"/>
      </w:pPr>
      <w:r>
        <w:rPr>
          <w:rFonts w:ascii="Times New Roman" w:cs="Times New Roman" w:eastAsia="Times New Roman" w:hAnsi="Times New Roman"/>
          <w:b/>
          <w:bCs/>
          <w:color w:val="000000"/>
          <w:sz w:val="24"/>
          <w:szCs w:val="24"/>
        </w:rPr>
        <w:t xml:space="preserve">II.3. Synthèse des études et lacunes de la littérature</w:t>
      </w:r>
    </w:p>
    <w:p>
      <w:pPr>
        <w:pStyle w:val="Heading3"/>
        <w:spacing w:after="120" w:before="240"/>
      </w:pPr>
      <w:r>
        <w:rPr>
          <w:rFonts w:ascii="Times New Roman" w:cs="Times New Roman" w:eastAsia="Times New Roman" w:hAnsi="Times New Roman"/>
          <w:b/>
          <w:bCs/>
          <w:i/>
          <w:iCs/>
          <w:color w:val="000000"/>
          <w:sz w:val="24"/>
          <w:szCs w:val="24"/>
        </w:rPr>
        <w:t xml:space="preserve">II.3.1. Tableau de synthèse des études empiriques</w:t>
      </w:r>
    </w:p>
    <w:p>
      <w:pPr>
        <w:spacing w:after="80" w:before="160"/>
        <w:jc w:val="center"/>
      </w:pPr>
      <w:r>
        <w:rPr>
          <w:rFonts w:ascii="Times New Roman" w:cs="Times New Roman" w:eastAsia="Times New Roman" w:hAnsi="Times New Roman"/>
          <w:b/>
          <w:bCs/>
          <w:i/>
          <w:iCs/>
          <w:color w:val="000000"/>
          <w:sz w:val="22"/>
          <w:szCs w:val="22"/>
        </w:rPr>
        <w:t xml:space="preserve">Tableau : Synthèse des principales études empiriques sur les transferts et le bien-être des enfants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00"/>
        <w:gridCol w:w="3300"/>
      </w:tblGrid>
      <w:tr>
        <w:trPr>
          <w:tblHeader/>
        </w:trPr>
        <w:tc>
          <w:tcPr>
            <w:tcW w:type="dxa" w:w="225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Auteur(s) / Année</w:t>
            </w:r>
          </w:p>
        </w:tc>
        <w:tc>
          <w:tcPr>
            <w:tcW w:type="dxa" w:w="225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Pays / Zone</w:t>
            </w:r>
          </w:p>
        </w:tc>
        <w:tc>
          <w:tcPr>
            <w:tcW w:type="dxa" w:w="225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Dimension analysée</w:t>
            </w:r>
          </w:p>
        </w:tc>
        <w:tc>
          <w:tcPr>
            <w:tcW w:type="dxa" w:w="225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Résultats principaux</w:t>
            </w:r>
          </w:p>
        </w:tc>
      </w:tr>
      <w:tr>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Diagne &amp; Diane (2008)</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Sénégal</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Dépenses / pauvreté monétaire</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Impact positif global ; biais urbain ; aggravation de l’extrême pauvreté</w:t>
            </w:r>
          </w:p>
        </w:tc>
      </w:tr>
      <w:tr>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Barikalla (2024)</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Sénégal</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Pauvreté multidimensionnelle (ICP)</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Relation négative significative entre transferts et ICP ; effets sur accès aux services de base</w:t>
            </w:r>
          </w:p>
        </w:tc>
      </w:tr>
      <w:tr>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Amega (2018)</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46 pays ASS</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Éducation &amp; santé</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Impact positif sur scolarisation et santé ; synergie bidirectionnelle éducation-santé</w:t>
            </w:r>
          </w:p>
        </w:tc>
      </w:tr>
      <w:tr>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Gyimah-Brempong &amp; Asiedu (2015)</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Ghana</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Investissement éducatif</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Effet positif sur dépenses d’éducation via relâchement de la contrainte budgétaire</w:t>
            </w:r>
          </w:p>
        </w:tc>
      </w:tr>
      <w:tr>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Adams &amp; Cuecuecha (2010)</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Guatemala</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Éducation, santé</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Composition des dépenses marginales en faveur de l’éducation et de la santé</w:t>
            </w:r>
          </w:p>
        </w:tc>
      </w:tr>
      <w:tr>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Mohammed (2022)</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Afrique subsaharienne</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Développement humain, institutions</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Effet substitutif des transferts dans les pays à faibles institutions ; relâchement de la contrainte institutionnelle</w:t>
            </w:r>
          </w:p>
        </w:tc>
      </w:tr>
      <w:tr>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Mohapatra &amp; Ratha (2011)</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Multi-pays</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Santé, nutrition, conditions de vie</w:t>
            </w:r>
          </w:p>
        </w:tc>
        <w:tc>
          <w:tcPr>
            <w:tcW w:type="dxa" w:w="225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Augmentation des dépenses de santé, d’éducation et de nutrition ; effets positifs sur mortalité infantile</w:t>
            </w:r>
          </w:p>
        </w:tc>
      </w:tr>
      <w:tr>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UNICEF/ANSD (MODA)</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Sénégal</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Pauvreté multidim. des enfants</w:t>
            </w:r>
          </w:p>
        </w:tc>
        <w:tc>
          <w:tcPr>
            <w:tcW w:type="dxa" w:w="22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color w:val="000000"/>
                <w:sz w:val="20"/>
                <w:szCs w:val="20"/>
              </w:rPr>
              <w:t xml:space="preserve">50,7 % des enfants pauvres multidimensionnellement ; fortes disparités rurales/urbaines et régionales</w:t>
            </w:r>
          </w:p>
        </w:tc>
      </w:tr>
    </w:tbl>
    <w:p>
      <w:pPr>
        <w:spacing w:after="240" w:before="60"/>
        <w:jc w:val="center"/>
      </w:pPr>
      <w:r>
        <w:rPr>
          <w:rFonts w:ascii="Times New Roman" w:cs="Times New Roman" w:eastAsia="Times New Roman" w:hAnsi="Times New Roman"/>
          <w:i/>
          <w:iCs/>
          <w:color w:val="000000"/>
          <w:sz w:val="18"/>
          <w:szCs w:val="18"/>
        </w:rPr>
        <w:t xml:space="preserve">Source : Compilation de l’auteur à partir de la littérature.</w:t>
      </w:r>
    </w:p>
    <w:p>
      <w:pPr>
        <w:pStyle w:val="Heading3"/>
        <w:spacing w:after="120" w:before="240"/>
      </w:pPr>
      <w:r>
        <w:rPr>
          <w:rFonts w:ascii="Times New Roman" w:cs="Times New Roman" w:eastAsia="Times New Roman" w:hAnsi="Times New Roman"/>
          <w:b/>
          <w:bCs/>
          <w:i/>
          <w:iCs/>
          <w:color w:val="000000"/>
          <w:sz w:val="24"/>
          <w:szCs w:val="24"/>
        </w:rPr>
        <w:t xml:space="preserve">II.3.2. Lacunes identifiées et perspectives de recherche</w:t>
      </w:r>
    </w:p>
    <w:p>
      <w:pPr>
        <w:spacing w:after="120" w:before="120" w:line="360"/>
        <w:ind w:firstLine="720"/>
        <w:jc w:val="both"/>
      </w:pPr>
      <w:r>
        <w:rPr>
          <w:rFonts w:ascii="Times New Roman" w:cs="Times New Roman" w:eastAsia="Times New Roman" w:hAnsi="Times New Roman"/>
          <w:color w:val="000000"/>
          <w:sz w:val="24"/>
          <w:szCs w:val="24"/>
        </w:rPr>
        <w:t xml:space="preserve">La synthèse des travaux disponibles permet d’identifier plusieurs lacunes importantes qui justifient des recherches supplémentaires dans le contexte sénégalais. Premièrement, la grande majorité des études prend pour unité d’analyse le ménage ou la population adulte. Il n’existe pas, à notre connaissance, d’étude économétrique spécifique croisant les transferts de migrants et la pauvreté multidimensionnelle des enfants au Sénégal, en mobilisant simultanément les données de l’ESPS ou de l’Enquête Démographique et de Santé (EDS-Continue) et la méthodologie MODA ou Alkire-Foster adaptée aux enfants.</w:t>
      </w:r>
    </w:p>
    <w:p>
      <w:pPr>
        <w:spacing w:after="120" w:before="120" w:line="360"/>
        <w:ind w:firstLine="720"/>
        <w:jc w:val="both"/>
      </w:pPr>
      <w:r>
        <w:rPr>
          <w:rFonts w:ascii="Times New Roman" w:cs="Times New Roman" w:eastAsia="Times New Roman" w:hAnsi="Times New Roman"/>
          <w:color w:val="000000"/>
          <w:sz w:val="24"/>
          <w:szCs w:val="24"/>
        </w:rPr>
        <w:t xml:space="preserve">Deuxièmement, le problème de l’endogénéité des transferts n’est pas traité de manière rigoureuse dans la plupart des études sénégalaises. Les ménages ne reçoivent pas des transferts de manière aléatoire – la probabilité d’en recevoir est corrélée avec des caractéristiques inobservables du ménage –, ce qui crée un biais de sélection pouvant biaiser les estimations de l’impact. Des stratégies d’identification rigoureuses (variables instrumentales, propensity score matching, différence en différences) sont nécessaires pour obtenir des estimations causales.</w:t>
      </w:r>
    </w:p>
    <w:p>
      <w:pPr>
        <w:spacing w:after="120" w:before="120" w:line="360"/>
        <w:ind w:firstLine="720"/>
        <w:jc w:val="both"/>
      </w:pPr>
      <w:r>
        <w:rPr>
          <w:rFonts w:ascii="Times New Roman" w:cs="Times New Roman" w:eastAsia="Times New Roman" w:hAnsi="Times New Roman"/>
          <w:color w:val="000000"/>
          <w:sz w:val="24"/>
          <w:szCs w:val="24"/>
        </w:rPr>
        <w:t xml:space="preserve">Troisièmement, la dimension genre et les effets spécifiques sur les enfants laissés derrière par les parents migrants sont quasi absents de la littérature sénégalaise. Des travaux réalisés en Amérique latine suggèrent que les transferts perçus par les mères sont associés à une meilleure nutrition et éducation des enfants, un résultat dont la validité mérite d’être testée dans le contexte sénégalais, où la migration est majoritairement masculine. Enfin, une part significative des transferts transite par des canaux informels non capturés par les statistiques officielles, ce qui peut conduire à une sous-estimation systématique des flux réels et de leur impact.</w:t>
      </w:r>
    </w:p>
    <w:p>
      <w:pPr>
        <w:spacing w:after="60" w:before="60"/>
      </w:pPr>
      <w:r>
        <w:t xml:space="preserve"/>
      </w:r>
    </w:p>
    <w:p>
      <w:r>
        <w:br w:type="page"/>
      </w:r>
    </w:p>
    <w:p>
      <w:pPr>
        <w:pStyle w:val="Heading1"/>
        <w:spacing w:after="200" w:before="0"/>
      </w:pPr>
      <w:r>
        <w:rPr>
          <w:rFonts w:ascii="Times New Roman" w:cs="Times New Roman" w:eastAsia="Times New Roman" w:hAnsi="Times New Roman"/>
          <w:b/>
          <w:bCs/>
          <w:color w:val="000000"/>
          <w:sz w:val="28"/>
          <w:szCs w:val="28"/>
        </w:rPr>
        <w:t xml:space="preserve">RÉFÉRENCES BIBLIOGRAPHIQUES</w:t>
      </w:r>
    </w:p>
    <w:p>
      <w:pPr>
        <w:spacing w:after="60" w:before="60" w:line="300"/>
        <w:ind w:left="720" w:hanging="720"/>
        <w:jc w:val="both"/>
      </w:pPr>
      <w:r>
        <w:rPr>
          <w:rFonts w:ascii="Times New Roman" w:cs="Times New Roman" w:eastAsia="Times New Roman" w:hAnsi="Times New Roman"/>
          <w:color w:val="000000"/>
          <w:sz w:val="22"/>
          <w:szCs w:val="22"/>
        </w:rPr>
        <w:t xml:space="preserve">Adams, R. H. &amp; Cuecuecha, A. (2010). Remittances, household expenditure and investment in Guatemala. World Bank Policy Research Working Paper Series, n°3532.</w:t>
      </w:r>
    </w:p>
    <w:p>
      <w:pPr>
        <w:spacing w:after="60" w:before="60" w:line="300"/>
        <w:ind w:left="720" w:hanging="720"/>
        <w:jc w:val="both"/>
      </w:pPr>
      <w:r>
        <w:rPr>
          <w:rFonts w:ascii="Times New Roman" w:cs="Times New Roman" w:eastAsia="Times New Roman" w:hAnsi="Times New Roman"/>
          <w:color w:val="000000"/>
          <w:sz w:val="22"/>
          <w:szCs w:val="22"/>
        </w:rPr>
        <w:t xml:space="preserve">Alkire, S. &amp; Foster, J. (2007). Counting and multidimensional poverty measures. OPHI Working Paper Series, University of Oxford.</w:t>
      </w:r>
    </w:p>
    <w:p>
      <w:pPr>
        <w:spacing w:after="60" w:before="60" w:line="300"/>
        <w:ind w:left="720" w:hanging="720"/>
        <w:jc w:val="both"/>
      </w:pPr>
      <w:r>
        <w:rPr>
          <w:rFonts w:ascii="Times New Roman" w:cs="Times New Roman" w:eastAsia="Times New Roman" w:hAnsi="Times New Roman"/>
          <w:color w:val="000000"/>
          <w:sz w:val="22"/>
          <w:szCs w:val="22"/>
        </w:rPr>
        <w:t xml:space="preserve">Amega, K. (2018). Remittances, education and health in Sub-Saharan Africa. Cogent Economics &amp; Finance, 6(1), 1516488.</w:t>
      </w:r>
    </w:p>
    <w:p>
      <w:pPr>
        <w:spacing w:after="60" w:before="60" w:line="300"/>
        <w:ind w:left="720" w:hanging="720"/>
        <w:jc w:val="both"/>
      </w:pPr>
      <w:r>
        <w:rPr>
          <w:rFonts w:ascii="Times New Roman" w:cs="Times New Roman" w:eastAsia="Times New Roman" w:hAnsi="Times New Roman"/>
          <w:color w:val="000000"/>
          <w:sz w:val="22"/>
          <w:szCs w:val="22"/>
        </w:rPr>
        <w:t xml:space="preserve">Amakom, U. &amp; Iheoma, C. (2014). Impact of migrants’ remittances on health and educational outcomes in Sub-Saharan Africa. African Economic Research Consortium.</w:t>
      </w:r>
    </w:p>
    <w:p>
      <w:pPr>
        <w:spacing w:after="60" w:before="60" w:line="300"/>
        <w:ind w:left="720" w:hanging="720"/>
        <w:jc w:val="both"/>
      </w:pPr>
      <w:r>
        <w:rPr>
          <w:rFonts w:ascii="Times New Roman" w:cs="Times New Roman" w:eastAsia="Times New Roman" w:hAnsi="Times New Roman"/>
          <w:color w:val="000000"/>
          <w:sz w:val="22"/>
          <w:szCs w:val="22"/>
        </w:rPr>
        <w:t xml:space="preserve">ANSD (2011). Rapport sur la Pauvreté Multidimensionnelle au Sénégal. Dakar : Agence Nationale de la Statistique et de la Démographie.</w:t>
      </w:r>
    </w:p>
    <w:p>
      <w:pPr>
        <w:spacing w:after="60" w:before="60" w:line="300"/>
        <w:ind w:left="720" w:hanging="720"/>
        <w:jc w:val="both"/>
      </w:pPr>
      <w:r>
        <w:rPr>
          <w:rFonts w:ascii="Times New Roman" w:cs="Times New Roman" w:eastAsia="Times New Roman" w:hAnsi="Times New Roman"/>
          <w:color w:val="000000"/>
          <w:sz w:val="22"/>
          <w:szCs w:val="22"/>
        </w:rPr>
        <w:t xml:space="preserve">Barikalla, A. M. (2024). Les transferts monétaires des migrants et la pauvreté au Sénégal : une approche multidimensionnelle. Revue Economie, Gestion et Société, Vol. 1, n°43. doi: 10.48382/IMIST.PRSM/regs-v1i43.50740.</w:t>
      </w:r>
    </w:p>
    <w:p>
      <w:pPr>
        <w:spacing w:after="60" w:before="60" w:line="300"/>
        <w:ind w:left="720" w:hanging="720"/>
        <w:jc w:val="both"/>
      </w:pPr>
      <w:r>
        <w:rPr>
          <w:rFonts w:ascii="Times New Roman" w:cs="Times New Roman" w:eastAsia="Times New Roman" w:hAnsi="Times New Roman"/>
          <w:color w:val="000000"/>
          <w:sz w:val="22"/>
          <w:szCs w:val="22"/>
        </w:rPr>
        <w:t xml:space="preserve">BCEAO (2024). Statistiques des transferts de fonds des émigrés. Banque Centrale des États de l’Afrique de l’Ouest, Dakar.</w:t>
      </w:r>
    </w:p>
    <w:p>
      <w:pPr>
        <w:spacing w:after="60" w:before="60" w:line="300"/>
        <w:ind w:left="720" w:hanging="720"/>
        <w:jc w:val="both"/>
      </w:pPr>
      <w:r>
        <w:rPr>
          <w:rFonts w:ascii="Times New Roman" w:cs="Times New Roman" w:eastAsia="Times New Roman" w:hAnsi="Times New Roman"/>
          <w:color w:val="000000"/>
          <w:sz w:val="22"/>
          <w:szCs w:val="22"/>
        </w:rPr>
        <w:t xml:space="preserve">Cogneau, D. &amp; Gubert, F. (2006). Migrations du Sud et réduction de la pauvreté : des effets ambigus pour les pays de départ. In E. M. Mouhoud (dir.), Les nouvelles migrations. Universalis.</w:t>
      </w:r>
    </w:p>
    <w:p>
      <w:pPr>
        <w:spacing w:after="60" w:before="60" w:line="300"/>
        <w:ind w:left="720" w:hanging="720"/>
        <w:jc w:val="both"/>
      </w:pPr>
      <w:r>
        <w:rPr>
          <w:rFonts w:ascii="Times New Roman" w:cs="Times New Roman" w:eastAsia="Times New Roman" w:hAnsi="Times New Roman"/>
          <w:color w:val="000000"/>
          <w:sz w:val="22"/>
          <w:szCs w:val="22"/>
        </w:rPr>
        <w:t xml:space="preserve">De la Garza, R. &amp; Lowell, B. L. (2002). Sending Money Home: Hispanic Remittances and Community Development. Rowman and Littlefield, Oxford.</w:t>
      </w:r>
    </w:p>
    <w:p>
      <w:pPr>
        <w:spacing w:after="60" w:before="60" w:line="300"/>
        <w:ind w:left="720" w:hanging="720"/>
        <w:jc w:val="both"/>
      </w:pPr>
      <w:r>
        <w:rPr>
          <w:rFonts w:ascii="Times New Roman" w:cs="Times New Roman" w:eastAsia="Times New Roman" w:hAnsi="Times New Roman"/>
          <w:color w:val="000000"/>
          <w:sz w:val="22"/>
          <w:szCs w:val="22"/>
        </w:rPr>
        <w:t xml:space="preserve">Demilio, A. L. et al. (1990). The Impact of International Migration: What Happens to Children Left Behind in Selected Countries of Latin America and the Caribbean. UNICEF / University of Maastricht.</w:t>
      </w:r>
    </w:p>
    <w:p>
      <w:pPr>
        <w:spacing w:after="60" w:before="60" w:line="300"/>
        <w:ind w:left="720" w:hanging="720"/>
        <w:jc w:val="both"/>
      </w:pPr>
      <w:r>
        <w:rPr>
          <w:rFonts w:ascii="Times New Roman" w:cs="Times New Roman" w:eastAsia="Times New Roman" w:hAnsi="Times New Roman"/>
          <w:color w:val="000000"/>
          <w:sz w:val="22"/>
          <w:szCs w:val="22"/>
        </w:rPr>
        <w:t xml:space="preserve">Diagne, Y. S. &amp; Diane, F. (2008). Impact des transferts des migrants sur la pauvreté au Sénégal. MPRA Paper n°54866, University Library of Munich.</w:t>
      </w:r>
    </w:p>
    <w:p>
      <w:pPr>
        <w:spacing w:after="60" w:before="60" w:line="300"/>
        <w:ind w:left="720" w:hanging="720"/>
        <w:jc w:val="both"/>
      </w:pPr>
      <w:r>
        <w:rPr>
          <w:rFonts w:ascii="Times New Roman" w:cs="Times New Roman" w:eastAsia="Times New Roman" w:hAnsi="Times New Roman"/>
          <w:color w:val="000000"/>
          <w:sz w:val="22"/>
          <w:szCs w:val="22"/>
        </w:rPr>
        <w:t xml:space="preserve">DPEE (2008). Impact des transferts des migrants sur la pauvreté au Sénégal. Direction de la Prévision et des Études Économiques, Ministère de l’Économie et des Finances, Dakar.</w:t>
      </w:r>
    </w:p>
    <w:p>
      <w:pPr>
        <w:spacing w:after="60" w:before="60" w:line="300"/>
        <w:ind w:left="720" w:hanging="720"/>
        <w:jc w:val="both"/>
      </w:pPr>
      <w:r>
        <w:rPr>
          <w:rFonts w:ascii="Times New Roman" w:cs="Times New Roman" w:eastAsia="Times New Roman" w:hAnsi="Times New Roman"/>
          <w:color w:val="000000"/>
          <w:sz w:val="22"/>
          <w:szCs w:val="22"/>
        </w:rPr>
        <w:t xml:space="preserve">Giuliano, P. &amp; Ruiz-Arranz, M. (2009). Remittances, financial development, and growth. Journal of Development Economics, 90, 144–152.</w:t>
      </w:r>
    </w:p>
    <w:p>
      <w:pPr>
        <w:spacing w:after="60" w:before="60" w:line="300"/>
        <w:ind w:left="720" w:hanging="720"/>
        <w:jc w:val="both"/>
      </w:pPr>
      <w:r>
        <w:rPr>
          <w:rFonts w:ascii="Times New Roman" w:cs="Times New Roman" w:eastAsia="Times New Roman" w:hAnsi="Times New Roman"/>
          <w:color w:val="000000"/>
          <w:sz w:val="22"/>
          <w:szCs w:val="22"/>
        </w:rPr>
        <w:t xml:space="preserve">Gupta, S., Pattillo, C. &amp; Wagh, S. (2009). Effect of remittances on poverty and financial development in Sub-Saharan Africa. World Development, 37(1), 104–115.</w:t>
      </w:r>
    </w:p>
    <w:p>
      <w:pPr>
        <w:spacing w:after="60" w:before="60" w:line="300"/>
        <w:ind w:left="720" w:hanging="720"/>
        <w:jc w:val="both"/>
      </w:pPr>
      <w:r>
        <w:rPr>
          <w:rFonts w:ascii="Times New Roman" w:cs="Times New Roman" w:eastAsia="Times New Roman" w:hAnsi="Times New Roman"/>
          <w:color w:val="000000"/>
          <w:sz w:val="22"/>
          <w:szCs w:val="22"/>
        </w:rPr>
        <w:t xml:space="preserve">Gyimah-Brempong, K. &amp; Asiedu, E. (2015). Remittances and investment in education: Evidence from Ghana. Journal of International Trade and Economic Development, 24, 173–200.</w:t>
      </w:r>
    </w:p>
    <w:p>
      <w:pPr>
        <w:spacing w:after="60" w:before="60" w:line="300"/>
        <w:ind w:left="720" w:hanging="720"/>
        <w:jc w:val="both"/>
      </w:pPr>
      <w:r>
        <w:rPr>
          <w:rFonts w:ascii="Times New Roman" w:cs="Times New Roman" w:eastAsia="Times New Roman" w:hAnsi="Times New Roman"/>
          <w:color w:val="000000"/>
          <w:sz w:val="22"/>
          <w:szCs w:val="22"/>
        </w:rPr>
        <w:t xml:space="preserve">Harris, J. &amp; Todaro, M. (1970). Migration, unemployment and development: A two-sector analysis. American Economic Review, 60, 126–142.</w:t>
      </w:r>
    </w:p>
    <w:p>
      <w:pPr>
        <w:spacing w:after="60" w:before="60" w:line="300"/>
        <w:ind w:left="720" w:hanging="720"/>
        <w:jc w:val="both"/>
      </w:pPr>
      <w:r>
        <w:rPr>
          <w:rFonts w:ascii="Times New Roman" w:cs="Times New Roman" w:eastAsia="Times New Roman" w:hAnsi="Times New Roman"/>
          <w:color w:val="000000"/>
          <w:sz w:val="22"/>
          <w:szCs w:val="22"/>
        </w:rPr>
        <w:t xml:space="preserve">Lucas, R. E. B. &amp; Stark, O. (1985). Motivations to remit: Evidence from Botswana. Journal of Political Economy, 93(5), 901–918.</w:t>
      </w:r>
    </w:p>
    <w:p>
      <w:pPr>
        <w:spacing w:after="60" w:before="60" w:line="300"/>
        <w:ind w:left="720" w:hanging="720"/>
        <w:jc w:val="both"/>
      </w:pPr>
      <w:r>
        <w:rPr>
          <w:rFonts w:ascii="Times New Roman" w:cs="Times New Roman" w:eastAsia="Times New Roman" w:hAnsi="Times New Roman"/>
          <w:color w:val="000000"/>
          <w:sz w:val="22"/>
          <w:szCs w:val="22"/>
        </w:rPr>
        <w:t xml:space="preserve">Mohammed, A. (2022). Remittances, institutions and human development in Sub-Saharan Africa. Journal of Economic Development.</w:t>
      </w:r>
    </w:p>
    <w:p>
      <w:pPr>
        <w:spacing w:after="60" w:before="60" w:line="300"/>
        <w:ind w:left="720" w:hanging="720"/>
        <w:jc w:val="both"/>
      </w:pPr>
      <w:r>
        <w:rPr>
          <w:rFonts w:ascii="Times New Roman" w:cs="Times New Roman" w:eastAsia="Times New Roman" w:hAnsi="Times New Roman"/>
          <w:color w:val="000000"/>
          <w:sz w:val="22"/>
          <w:szCs w:val="22"/>
        </w:rPr>
        <w:t xml:space="preserve">Mohapatra, S. &amp; Ratha, D. (2011). Remittance Markets in Africa. World Bank Publications, Washington D.C.</w:t>
      </w:r>
    </w:p>
    <w:p>
      <w:pPr>
        <w:spacing w:after="60" w:before="60" w:line="300"/>
        <w:ind w:left="720" w:hanging="720"/>
        <w:jc w:val="both"/>
      </w:pPr>
      <w:r>
        <w:rPr>
          <w:rFonts w:ascii="Times New Roman" w:cs="Times New Roman" w:eastAsia="Times New Roman" w:hAnsi="Times New Roman"/>
          <w:color w:val="000000"/>
          <w:sz w:val="22"/>
          <w:szCs w:val="22"/>
        </w:rPr>
        <w:t xml:space="preserve">Rapoport, H. &amp; Docquier, F. (2006). The economics of migrants’ remittances. In S. Kolm &amp; J. M. Ythier (eds.), Handbook of the Economics of Giving, Altruism and Reciprocity. North-Holland.</w:t>
      </w:r>
    </w:p>
    <w:p>
      <w:pPr>
        <w:spacing w:after="60" w:before="60" w:line="300"/>
        <w:ind w:left="720" w:hanging="720"/>
        <w:jc w:val="both"/>
      </w:pPr>
      <w:r>
        <w:rPr>
          <w:rFonts w:ascii="Times New Roman" w:cs="Times New Roman" w:eastAsia="Times New Roman" w:hAnsi="Times New Roman"/>
          <w:color w:val="000000"/>
          <w:sz w:val="22"/>
          <w:szCs w:val="22"/>
        </w:rPr>
        <w:t xml:space="preserve">Sen, A. (1999). Development as Freedom. Oxford University Press, Oxford.</w:t>
      </w:r>
    </w:p>
    <w:p>
      <w:pPr>
        <w:spacing w:after="60" w:before="60" w:line="300"/>
        <w:ind w:left="720" w:hanging="720"/>
        <w:jc w:val="both"/>
      </w:pPr>
      <w:r>
        <w:rPr>
          <w:rFonts w:ascii="Times New Roman" w:cs="Times New Roman" w:eastAsia="Times New Roman" w:hAnsi="Times New Roman"/>
          <w:color w:val="000000"/>
          <w:sz w:val="22"/>
          <w:szCs w:val="22"/>
        </w:rPr>
        <w:t xml:space="preserve">Stark, O. &amp; Bloom, D. (1985). The new economics of labor migration. American Economic Review, 75(2), 173–178.</w:t>
      </w:r>
    </w:p>
    <w:p>
      <w:pPr>
        <w:spacing w:after="60" w:before="60" w:line="300"/>
        <w:ind w:left="720" w:hanging="720"/>
        <w:jc w:val="both"/>
      </w:pPr>
      <w:r>
        <w:rPr>
          <w:rFonts w:ascii="Times New Roman" w:cs="Times New Roman" w:eastAsia="Times New Roman" w:hAnsi="Times New Roman"/>
          <w:color w:val="000000"/>
          <w:sz w:val="22"/>
          <w:szCs w:val="22"/>
        </w:rPr>
        <w:t xml:space="preserve">Stark, O. &amp; Lucas, R. E. B. (1988). Migration, remittances, and the family. Economic Development and Cultural Change, 36(3), 465–481.</w:t>
      </w:r>
    </w:p>
    <w:p>
      <w:pPr>
        <w:spacing w:after="60" w:before="60" w:line="300"/>
        <w:ind w:left="720" w:hanging="720"/>
        <w:jc w:val="both"/>
      </w:pPr>
      <w:r>
        <w:rPr>
          <w:rFonts w:ascii="Times New Roman" w:cs="Times New Roman" w:eastAsia="Times New Roman" w:hAnsi="Times New Roman"/>
          <w:color w:val="000000"/>
          <w:sz w:val="22"/>
          <w:szCs w:val="22"/>
        </w:rPr>
        <w:t xml:space="preserve">UNICEF &amp; ANSD (s.d.). Analyse de la pauvreté et des privations multidimensionnelles de l’enfant au Sénégal. UNICEF Bureau de Dakar / ANSD, Dakar.</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2" w:space="4"/>
      </w:pBd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space="4"/>
      </w:pBdr>
      <w:jc w:val="right"/>
    </w:pPr>
    <w:r>
      <w:rPr>
        <w:rFonts w:ascii="Times New Roman" w:cs="Times New Roman" w:eastAsia="Times New Roman" w:hAnsi="Times New Roman"/>
        <w:i/>
        <w:iCs/>
        <w:color w:val="000000"/>
        <w:sz w:val="18"/>
        <w:szCs w:val="18"/>
      </w:rPr>
      <w:t xml:space="preserve">Transferts des migrants et pauvreté multidimensionnelle des enfants au Sénégal – Revue théorique et empirique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20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2026-06-26T00:58:31.125Z</dcterms:created>
  <dcterms:modified xsi:type="dcterms:W3CDTF">2026-06-26T00:58:31.125Z</dcterms:modified>
</cp:coreProperties>
</file>

<file path=docProps/custom.xml><?xml version="1.0" encoding="utf-8"?>
<Properties xmlns="http://schemas.openxmlformats.org/officeDocument/2006/custom-properties" xmlns:vt="http://schemas.openxmlformats.org/officeDocument/2006/docPropsVTypes"/>
</file>