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19 minutes  ·  31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Monsieur le Président du jury, mesdames et messieurs, bonjour.</w:t>
      </w:r>
    </w:p>
    <w:p>
      <w:pPr>
        <w:spacing w:after="160" w:line="360"/>
        <w:jc w:val="both"/>
      </w:pPr>
      <w:r>
        <w:rPr>
          <w:rFonts w:ascii="Times New Roman" w:cs="Times New Roman" w:eastAsia="Times New Roman" w:hAnsi="Times New Roman"/>
          <w:sz w:val="24"/>
          <w:szCs w:val="24"/>
        </w:rPr>
        <w:t xml:space="preserve">Monsieur le Président du jury, Madame et Messieurs les membres du jury, Monsieur le Directeur de mémoire,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 exposé suivra six temps.</w:t>
      </w:r>
    </w:p>
    <w:p>
      <w:pPr>
        <w:spacing w:after="160" w:line="360"/>
        <w:jc w:val="both"/>
      </w:pPr>
      <w:r>
        <w:rPr>
          <w:rFonts w:ascii="Times New Roman" w:cs="Times New Roman" w:eastAsia="Times New Roman" w:hAnsi="Times New Roman"/>
          <w:sz w:val="24"/>
          <w:szCs w:val="24"/>
        </w:rPr>
        <w:t xml:space="preserve">Mon exposé suivra six temps. 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Deux réalités coexistent au Sénégal.</w:t>
      </w:r>
    </w:p>
    <w:p>
      <w:pPr>
        <w:spacing w:after="160" w:line="360"/>
        <w:jc w:val="both"/>
      </w:pPr>
      <w:r>
        <w:rPr>
          <w:rFonts w:ascii="Times New Roman" w:cs="Times New Roman" w:eastAsia="Times New Roman" w:hAnsi="Times New Roman"/>
          <w:sz w:val="24"/>
          <w:szCs w:val="24"/>
        </w:rPr>
        <w:t xml:space="preserve">Deux réalités coexistent au Sénégal, et c'est de leur rencontre que naît ce travail.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D'où la question qui structure ce mémoire.</w:t>
      </w:r>
    </w:p>
    <w:p>
      <w:pPr>
        <w:spacing w:after="160" w:line="360"/>
        <w:jc w:val="both"/>
      </w:pPr>
      <w:r>
        <w:rPr>
          <w:rFonts w:ascii="Times New Roman" w:cs="Times New Roman" w:eastAsia="Times New Roman" w:hAnsi="Times New Roman"/>
          <w:sz w:val="24"/>
          <w:szCs w:val="24"/>
        </w:rPr>
        <w:t xml:space="preserve">D'où la question qui structure ce mémoire : 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Cette question se décline en deux objectifs et deux hypothèses.</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Théories de la migration</w:t>
      </w:r>
      <w:r>
        <w:rPr>
          <w:rFonts w:ascii="Times New Roman" w:cs="Times New Roman" w:eastAsia="Times New Roman" w:hAnsi="Times New Roman"/>
          <w:color w:val="6E747E"/>
          <w:sz w:val="20"/>
          <w:szCs w:val="20"/>
        </w:rPr>
        <w:t xml:space="preserve">	1 min 15</w:t>
      </w:r>
    </w:p>
    <w:p>
      <w:pPr>
        <w:spacing w:after="200" w:before="60"/>
      </w:pPr>
      <w:r>
        <w:rPr>
          <w:rFonts w:ascii="Times New Roman" w:cs="Times New Roman" w:eastAsia="Times New Roman" w:hAnsi="Times New Roman"/>
          <w:b/>
          <w:bCs/>
          <w:color w:val="0E6E96"/>
          <w:sz w:val="30"/>
          <w:szCs w:val="30"/>
        </w:rPr>
        <w:t xml:space="preserve">Un mot d'abord sur la migration elle-même.</w:t>
      </w:r>
    </w:p>
    <w:p>
      <w:pPr>
        <w:spacing w:after="160" w:line="360"/>
        <w:jc w:val="both"/>
      </w:pPr>
      <w:r>
        <w:rPr>
          <w:rFonts w:ascii="Times New Roman" w:cs="Times New Roman" w:eastAsia="Times New Roman" w:hAnsi="Times New Roman"/>
          <w:sz w:val="24"/>
          <w:szCs w:val="24"/>
        </w:rPr>
        <w:t xml:space="preserve">Un mot d'abord sur la migration elle-même, car la décision de migrer et celle d'envoyer des fonds sont indissociables. La théorie néoclassique explique la migration par un calcul d'investissement : l'individu migre si la valeur actualisée des gains attendus à destination, nette des coûts du déplacement, excède ses gains d'origine, la décision se fondant sur le revenu espéré plutôt qu'effectif. Les envois de fonds sont alors le rendement de cet investissement migratoire.</w:t>
      </w:r>
    </w:p>
    <w:p>
      <w:pPr>
        <w:spacing w:after="160" w:line="360"/>
        <w:jc w:val="both"/>
      </w:pPr>
      <w:r>
        <w:rPr>
          <w:rFonts w:ascii="Times New Roman" w:cs="Times New Roman" w:eastAsia="Times New Roman" w:hAnsi="Times New Roman"/>
          <w:sz w:val="24"/>
          <w:szCs w:val="24"/>
        </w:rPr>
        <w:t xml:space="preserve">La théorie des réseaux complète cette approche. Les liens de parenté, d'amitié ou de communauté d'origine forment un capital social qui abaisse les coûts et les risques du départ : le migrant installé héberge le nouvel arrivant, l'informe et lui trouve un emploi. Chaque migration facilite ainsi les suivantes.</w:t>
      </w:r>
    </w:p>
    <w:p>
      <w:pPr>
        <w:spacing w:after="160" w:line="360"/>
        <w:jc w:val="both"/>
      </w:pPr>
      <w:r>
        <w:rPr>
          <w:rFonts w:ascii="Times New Roman" w:cs="Times New Roman" w:eastAsia="Times New Roman" w:hAnsi="Times New Roman"/>
          <w:sz w:val="24"/>
          <w:szCs w:val="24"/>
        </w:rPr>
        <w:t xml:space="preserve">J'insiste sur ce point, car il commande toute la suite du travail. Un ménage ne reçoit des transferts que si l'un des siens a pu émigrer, et il ne le peut que s'il dispose d'un réseau. Or l'accès au réseau dépend de l'histoire migratoire de la famille et du village, de la richesse initiale et des relations sociales du ménage. Les bénéficiaires diffèrent donc des autres avant même le premier franc reçu, et sur des caractéristiques dont certaines sont inobservables. C'est précisément ce que la stratégie d'identification devra traiter.</w:t>
      </w:r>
    </w:p>
    <w:p>
      <w:pPr>
        <w:spacing w:after="160"/>
        <w:ind w:left="340"/>
      </w:pPr>
      <w:r>
        <w:rPr>
          <w:rFonts w:ascii="Times New Roman" w:cs="Times New Roman" w:eastAsia="Times New Roman" w:hAnsi="Times New Roman"/>
          <w:i/>
          <w:iCs/>
          <w:color w:val="6E747E"/>
          <w:sz w:val="22"/>
          <w:szCs w:val="22"/>
        </w:rPr>
        <w:t xml:space="preserve">C'est le point charnière de l'exposé : le dire lentement.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Pourquoi les migrants transfèrent-ils, et avec quels effets ?</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Mesure multidimensionnelle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Mesurer la pauvreté d'un enfant par le seul revenu ne suffit pas.</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panel.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aux données.</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donne un panel de 6 127 ménages suivis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mesure-t-on cette pauvreté ?</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 cœur méthodologique du travail.</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Première brique, l'appariement.</w:t>
      </w:r>
    </w:p>
    <w:p>
      <w:pPr>
        <w:spacing w:after="160" w:line="360"/>
        <w:jc w:val="both"/>
      </w:pPr>
      <w:r>
        <w:rPr>
          <w:rFonts w:ascii="Times New Roman" w:cs="Times New Roman" w:eastAsia="Times New Roman" w:hAnsi="Times New Roman"/>
          <w:sz w:val="24"/>
          <w:szCs w:val="24"/>
        </w:rPr>
        <w:t xml:space="preserve">Première brique, l'appariement par score de propension. 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Seconde brique, la double différence.</w:t>
      </w:r>
    </w:p>
    <w:p>
      <w:pPr>
        <w:spacing w:after="160" w:line="360"/>
        <w:jc w:val="both"/>
      </w:pPr>
      <w:r>
        <w:rPr>
          <w:rFonts w:ascii="Times New Roman" w:cs="Times New Roman" w:eastAsia="Times New Roman" w:hAnsi="Times New Roman"/>
          <w:sz w:val="24"/>
          <w:szCs w:val="24"/>
        </w:rPr>
        <w:t xml:space="preserve">Seconde brique, la double différence. 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L'estimateur retenu combine les deux.</w:t>
      </w:r>
    </w:p>
    <w:p>
      <w:pPr>
        <w:spacing w:after="160" w:line="360"/>
        <w:jc w:val="both"/>
      </w:pPr>
      <w:r>
        <w:rPr>
          <w:rFonts w:ascii="Times New Roman" w:cs="Times New Roman" w:eastAsia="Times New Roman" w:hAnsi="Times New Roman"/>
          <w:sz w:val="24"/>
          <w:szCs w:val="24"/>
        </w:rPr>
        <w:t xml:space="preserve">L'estimateur retenu combine les deux, suivant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Avant l'effet des transferts, un état des lieux.</w:t>
      </w:r>
    </w:p>
    <w:p>
      <w:pPr>
        <w:spacing w:after="160" w:line="360"/>
        <w:jc w:val="both"/>
      </w:pPr>
      <w:r>
        <w:rPr>
          <w:rFonts w:ascii="Times New Roman" w:cs="Times New Roman" w:eastAsia="Times New Roman" w:hAnsi="Times New Roman"/>
          <w:sz w:val="24"/>
          <w:szCs w:val="24"/>
        </w:rPr>
        <w:t xml:space="preserve">Avant l'effet des transferts, un état des lieux. 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fait ressort de la ventilation par sous-groupe.</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Incidence selon le statut</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Voici la même incidence, décomposée par statut.</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Un mot sur la qualité de l'appariement, dont tout dépend.</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Le panel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 effet n'est pas diffus : il se localise.</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Dernier volet, l'intensité du traitement.</w:t>
      </w:r>
    </w:p>
    <w:p>
      <w:pPr>
        <w:spacing w:after="160" w:line="360"/>
        <w:jc w:val="both"/>
      </w:pPr>
      <w:r>
        <w:rPr>
          <w:rFonts w:ascii="Times New Roman" w:cs="Times New Roman" w:eastAsia="Times New Roman" w:hAnsi="Times New Roman"/>
          <w:sz w:val="24"/>
          <w:szCs w:val="24"/>
        </w:rPr>
        <w:t xml:space="preserve">Dernier volet, l'intensité du traitement. 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résultat a été mis à l'épreuve de trois façons.</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Sensibilité à la définition du traitement</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test mérite d'être signalé, car il nuance la portée du résultat.</w:t>
      </w:r>
    </w:p>
    <w:p>
      <w:pPr>
        <w:spacing w:after="160" w:line="360"/>
        <w:jc w:val="both"/>
      </w:pPr>
      <w:r>
        <w:rPr>
          <w:rFonts w:ascii="Times New Roman" w:cs="Times New Roman" w:eastAsia="Times New Roman" w:hAnsi="Times New Roman"/>
          <w:sz w:val="24"/>
          <w:szCs w:val="24"/>
        </w:rPr>
        <w:t xml:space="preserve">Un test mérite d'être signalé, car il nuance la portée du résultat. 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Mécanismes d'interprétation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expliquer qu'une ressource de cette ampleur ne réduise pas les privations ?</w:t>
      </w:r>
    </w:p>
    <w:p>
      <w:pPr>
        <w:spacing w:after="160" w:line="360"/>
        <w:jc w:val="both"/>
      </w:pPr>
      <w:r>
        <w:rPr>
          <w:rFonts w:ascii="Times New Roman" w:cs="Times New Roman" w:eastAsia="Times New Roman" w:hAnsi="Times New Roman"/>
          <w:sz w:val="24"/>
          <w:szCs w:val="24"/>
        </w:rPr>
        <w:t xml:space="preserve">Comment expliquer qu'une ressource de cette ampleur ne réduise pas les privations ? 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Que deviennent alors mes deux hypothèses ?</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Quatre apports se dégagent de ce travail.</w:t>
      </w:r>
    </w:p>
    <w:p>
      <w:pPr>
        <w:spacing w:after="160" w:line="360"/>
        <w:jc w:val="both"/>
      </w:pPr>
      <w:r>
        <w:rPr>
          <w:rFonts w:ascii="Times New Roman" w:cs="Times New Roman" w:eastAsia="Times New Roman" w:hAnsi="Times New Roman"/>
          <w:sz w:val="24"/>
          <w:szCs w:val="24"/>
        </w:rPr>
        <w:t xml:space="preserve">Quatre apports se dégagent. 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travail a ses limites, et je préfère les énoncer moi-même.</w:t>
      </w:r>
    </w:p>
    <w:p>
      <w:pPr>
        <w:spacing w:after="160" w:line="360"/>
        <w:jc w:val="both"/>
      </w:pPr>
      <w:r>
        <w:rPr>
          <w:rFonts w:ascii="Times New Roman" w:cs="Times New Roman" w:eastAsia="Times New Roman" w:hAnsi="Times New Roman"/>
          <w:sz w:val="24"/>
          <w:szCs w:val="24"/>
        </w:rPr>
        <w:t xml:space="preserve">Ce travail a ses limites, et je préfère les énoncer moi-même. 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Trois prolongements me semblent utiles.</w:t>
      </w:r>
    </w:p>
    <w:p>
      <w:pPr>
        <w:spacing w:after="160" w:line="360"/>
        <w:jc w:val="both"/>
      </w:pPr>
      <w:r>
        <w:rPr>
          <w:rFonts w:ascii="Times New Roman" w:cs="Times New Roman" w:eastAsia="Times New Roman" w:hAnsi="Times New Roman"/>
          <w:sz w:val="24"/>
          <w:szCs w:val="24"/>
        </w:rPr>
        <w:t xml:space="preserve">Trois prolongements me semblent utiles : 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200" w:before="60"/>
      </w:pPr>
      <w:r>
        <w:rPr>
          <w:rFonts w:ascii="Times New Roman" w:cs="Times New Roman" w:eastAsia="Times New Roman" w:hAnsi="Times New Roman"/>
          <w:b/>
          <w:bCs/>
          <w:color w:val="0E6E96"/>
          <w:sz w:val="30"/>
          <w:szCs w:val="30"/>
        </w:rPr>
        <w:t xml:space="preserve">Je vous remercie de votre attention.</w:t>
      </w:r>
    </w:p>
    <w:p>
      <w:pPr>
        <w:spacing w:after="160" w:line="360"/>
        <w:jc w:val="both"/>
      </w:pPr>
      <w:r>
        <w:rPr>
          <w:rFonts w:ascii="Times New Roman" w:cs="Times New Roman" w:eastAsia="Times New Roman" w:hAnsi="Times New Roman"/>
          <w:sz w:val="24"/>
          <w:szCs w:val="24"/>
        </w:rPr>
        <w:t xml:space="preserve">Je vous remercie de votre attention et 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2026-08-03T18:58:37.204Z</dcterms:created>
  <dcterms:modified xsi:type="dcterms:W3CDTF">2026-08-03T18:58:37.204Z</dcterms:modified>
</cp:coreProperties>
</file>

<file path=docProps/custom.xml><?xml version="1.0" encoding="utf-8"?>
<Properties xmlns="http://schemas.openxmlformats.org/officeDocument/2006/custom-properties" xmlns:vt="http://schemas.openxmlformats.org/officeDocument/2006/docPropsVTypes"/>
</file>