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0"/>
        </w:rPr>
        <w:t>Construction des indicateurs de pauvreté multidimensionnelle de l'enfant (N-MODA)</w:t>
      </w:r>
    </w:p>
    <w:tbl>
      <w:tblPr>
        <w:tblW w:type="auto" w:w="0"/>
        <w:jc w:val="center"/>
        <w:tblLook w:firstColumn="1" w:firstRow="1" w:lastColumn="0" w:lastRow="0" w:noHBand="0" w:noVBand="1" w:val="04A0"/>
      </w:tblPr>
      <w:tblGrid>
        <w:gridCol w:w="10426"/>
      </w:tblGrid>
      <w:tr>
        <w:tc>
          <w:tcPr>
            <w:tcW w:type="dxa" w:w="10426"/>
            <w:tcBorders>
              <w:top w:val="single" w:sz="6" w:color="000000"/>
              <w:bottom w:val="single" w:sz="6" w:color="000000"/>
              <w:left w:val="single" w:sz="6" w:color="000000"/>
              <w:right w:val="single" w:sz="6" w:color="000000"/>
            </w:tcBorders>
          </w:tcPr>
          <w:p>
            <w:pPr>
              <w:spacing w:after="0"/>
            </w:pPr>
            <w:r>
              <w:rPr>
                <w:b/>
                <w:i w:val="0"/>
                <w:color w:val="000000"/>
                <w:sz w:val="19"/>
              </w:rPr>
              <w:t xml:space="preserve">Principe. </w:t>
            </w:r>
            <w:r>
              <w:rPr>
                <w:b w:val="0"/>
                <w:i w:val="0"/>
                <w:color w:val="000000"/>
                <w:sz w:val="19"/>
              </w:rPr>
              <w:t xml:space="preserve">Approche N-MODA (ANSD/UNICEF) : sept dimensions du bien-être, déclinées en indicateurs binaires (privé / non privé). Un enfant est </w:t>
            </w:r>
            <w:r>
              <w:rPr>
                <w:b/>
                <w:i w:val="0"/>
                <w:color w:val="000000"/>
                <w:sz w:val="19"/>
              </w:rPr>
              <w:t>privé dans une dimension</w:t>
            </w:r>
            <w:r>
              <w:rPr>
                <w:b w:val="0"/>
                <w:i w:val="0"/>
                <w:color w:val="000000"/>
                <w:sz w:val="19"/>
              </w:rPr>
              <w:t xml:space="preserve"> s'il l'est dans </w:t>
            </w:r>
            <w:r>
              <w:rPr>
                <w:b w:val="0"/>
                <w:i/>
                <w:color w:val="000000"/>
                <w:sz w:val="19"/>
              </w:rPr>
              <w:t>au moins un</w:t>
            </w:r>
            <w:r>
              <w:rPr>
                <w:b w:val="0"/>
                <w:i w:val="0"/>
                <w:color w:val="000000"/>
                <w:sz w:val="19"/>
              </w:rPr>
              <w:t xml:space="preserve"> de ses indicateurs (union intra-dimension). Il est </w:t>
            </w:r>
            <w:r>
              <w:rPr>
                <w:b/>
                <w:i w:val="0"/>
                <w:color w:val="000000"/>
                <w:sz w:val="19"/>
              </w:rPr>
              <w:t>pauvre (N-MODA)</w:t>
            </w:r>
            <w:r>
              <w:rPr>
                <w:b w:val="0"/>
                <w:i w:val="0"/>
                <w:color w:val="000000"/>
                <w:sz w:val="19"/>
              </w:rPr>
              <w:t xml:space="preserve"> s'il est privé dans </w:t>
            </w:r>
            <w:r>
              <w:rPr>
                <w:b/>
                <w:i w:val="0"/>
                <w:color w:val="000000"/>
                <w:sz w:val="19"/>
              </w:rPr>
              <w:t>au moins k = 4 dimensions sur 7</w:t>
            </w:r>
            <w:r>
              <w:rPr>
                <w:b w:val="0"/>
                <w:i w:val="0"/>
                <w:color w:val="000000"/>
                <w:sz w:val="19"/>
              </w:rPr>
              <w:t>. Unité d'analyse : l'enfant ; trois groupes d'âge (0-4, 5-14, 15-17 ans) déterminent les indicateurs applicables. Statistiques descriptives pondérées par le poids de sondage (hhweight) ; effets causals pondérés par les poids d'appariement du PSM.</w:t>
            </w:r>
          </w:p>
        </w:tc>
      </w:tr>
    </w:tbl>
    <w:p/>
    <w:p>
      <w:pPr>
        <w:pStyle w:val="Heading2"/>
        <w:spacing w:before="160" w:after="40"/>
      </w:pPr>
      <w:r>
        <w:rPr>
          <w:b/>
          <w:color w:val="000000"/>
          <w:sz w:val="25"/>
        </w:rPr>
        <w:t>1. Assainissement</w:t>
      </w:r>
    </w:p>
    <w:tbl>
      <w:tblPr>
        <w:tblW w:type="auto" w:w="0"/>
        <w:tblLayout w:type="fixed"/>
        <w:tblLook w:firstColumn="1" w:firstRow="1" w:lastColumn="0" w:lastRow="0" w:noHBand="0" w:noVBand="1" w:val="04A0"/>
      </w:tblPr>
      <w:tblGrid>
        <w:gridCol w:w="3475"/>
        <w:gridCol w:w="3475"/>
        <w:gridCol w:w="3475"/>
      </w:tblGrid>
      <w:tr>
        <w:tc>
          <w:tcPr>
            <w:tcW w:type="dxa" w:w="2041"/>
            <w:tcBorders>
              <w:top w:val="single" w:sz="12" w:color="000000"/>
              <w:bottom w:val="single" w:sz="12" w:color="000000"/>
            </w:tcBorders>
          </w:tcPr>
          <w:p>
            <w:r>
              <w:rPr>
                <w:b/>
                <w:color w:val="000000"/>
                <w:sz w:val="20"/>
              </w:rPr>
              <w:t>Indicateur</w:t>
            </w:r>
          </w:p>
        </w:tc>
        <w:tc>
          <w:tcPr>
            <w:tcW w:type="dxa" w:w="5556"/>
            <w:tcBorders>
              <w:top w:val="single" w:sz="12" w:color="000000"/>
              <w:bottom w:val="single" w:sz="12" w:color="000000"/>
            </w:tcBorders>
          </w:tcPr>
          <w:p>
            <w:r>
              <w:rPr>
                <w:b/>
                <w:color w:val="000000"/>
                <w:sz w:val="20"/>
              </w:rPr>
              <w:t>Définition (privé si...)</w:t>
            </w:r>
          </w:p>
        </w:tc>
        <w:tc>
          <w:tcPr>
            <w:tcW w:type="dxa" w:w="2381"/>
            <w:tcBorders>
              <w:top w:val="single" w:sz="12" w:color="000000"/>
              <w:bottom w:val="single" w:sz="12" w:color="000000"/>
            </w:tcBorders>
          </w:tcPr>
          <w:p>
            <w:r>
              <w:rPr>
                <w:b/>
                <w:color w:val="000000"/>
                <w:sz w:val="20"/>
              </w:rPr>
              <w:t>Variables (2018 / 2021)</w:t>
            </w:r>
          </w:p>
        </w:tc>
      </w:tr>
      <w:tr>
        <w:tc>
          <w:tcPr>
            <w:tcW w:type="dxa" w:w="2041"/>
            <w:tcBorders>
              <w:top w:val="single" w:sz="4" w:color="000000"/>
              <w:bottom w:val="single" w:sz="4" w:color="000000"/>
            </w:tcBorders>
          </w:tcPr>
          <w:p>
            <w:pPr>
              <w:spacing w:after="40"/>
            </w:pPr>
            <w:r>
              <w:rPr>
                <w:b/>
                <w:color w:val="000000"/>
                <w:sz w:val="19"/>
              </w:rPr>
              <w:t>Type de sanitaire non amélioré</w:t>
            </w:r>
          </w:p>
        </w:tc>
        <w:tc>
          <w:tcPr>
            <w:tcW w:type="dxa" w:w="5556"/>
            <w:tcBorders>
              <w:top w:val="single" w:sz="4" w:color="000000"/>
              <w:bottom w:val="single" w:sz="4" w:color="000000"/>
            </w:tcBorders>
          </w:tcPr>
          <w:p>
            <w:pPr>
              <w:spacing w:after="40"/>
            </w:pPr>
            <w:r>
              <w:rPr>
                <w:color w:val="000000"/>
                <w:sz w:val="19"/>
              </w:rPr>
              <w:t>le ménage utilise des toilettes non améliorées : latrines SANPLAT, latrines dallées simples, fosse rudimentaire, toilettes publiques, aucune toilette, autre (codes 7 à 12).</w:t>
            </w:r>
          </w:p>
        </w:tc>
        <w:tc>
          <w:tcPr>
            <w:tcW w:type="dxa" w:w="2381"/>
            <w:tcBorders>
              <w:top w:val="single" w:sz="4" w:color="000000"/>
              <w:bottom w:val="single" w:sz="4" w:color="000000"/>
            </w:tcBorders>
          </w:tcPr>
          <w:p>
            <w:pPr>
              <w:spacing w:after="40"/>
            </w:pPr>
            <w:r>
              <w:rPr>
                <w:color w:val="000000"/>
                <w:sz w:val="19"/>
              </w:rPr>
              <w:t>s11q55 / s11q54</w:t>
            </w:r>
          </w:p>
        </w:tc>
      </w:tr>
      <w:tr>
        <w:tc>
          <w:tcPr>
            <w:tcW w:type="dxa" w:w="2041"/>
            <w:tcBorders>
              <w:top w:val="single" w:sz="4" w:color="000000"/>
              <w:bottom w:val="single" w:sz="4" w:color="000000"/>
            </w:tcBorders>
          </w:tcPr>
          <w:p>
            <w:pPr>
              <w:spacing w:after="40"/>
            </w:pPr>
            <w:r>
              <w:rPr>
                <w:b/>
                <w:color w:val="000000"/>
                <w:sz w:val="19"/>
              </w:rPr>
              <w:t>Partage des toilettes</w:t>
            </w:r>
          </w:p>
        </w:tc>
        <w:tc>
          <w:tcPr>
            <w:tcW w:type="dxa" w:w="5556"/>
            <w:tcBorders>
              <w:top w:val="single" w:sz="4" w:color="000000"/>
              <w:bottom w:val="single" w:sz="4" w:color="000000"/>
            </w:tcBorders>
          </w:tcPr>
          <w:p>
            <w:pPr>
              <w:spacing w:after="40"/>
            </w:pPr>
            <w:r>
              <w:rPr>
                <w:color w:val="000000"/>
                <w:sz w:val="19"/>
              </w:rPr>
              <w:t>le ménage partage ses toilettes avec d'autres ménages (dénominateur : ménages à installation privée).</w:t>
            </w:r>
          </w:p>
        </w:tc>
        <w:tc>
          <w:tcPr>
            <w:tcW w:type="dxa" w:w="2381"/>
            <w:tcBorders>
              <w:top w:val="single" w:sz="4" w:color="000000"/>
              <w:bottom w:val="single" w:sz="4" w:color="000000"/>
            </w:tcBorders>
          </w:tcPr>
          <w:p>
            <w:pPr>
              <w:spacing w:after="40"/>
            </w:pPr>
            <w:r>
              <w:rPr>
                <w:color w:val="000000"/>
                <w:sz w:val="19"/>
              </w:rPr>
              <w:t>s11q56 / s11q55</w:t>
            </w:r>
          </w:p>
        </w:tc>
      </w:tr>
    </w:tbl>
    <w:p>
      <w:pPr>
        <w:pStyle w:val="Heading2"/>
        <w:spacing w:before="160" w:after="40"/>
      </w:pPr>
      <w:r>
        <w:rPr>
          <w:b/>
          <w:color w:val="000000"/>
          <w:sz w:val="25"/>
        </w:rPr>
        <w:t>2. Eau</w:t>
      </w:r>
    </w:p>
    <w:tbl>
      <w:tblPr>
        <w:tblW w:type="auto" w:w="0"/>
        <w:tblLayout w:type="fixed"/>
        <w:tblLook w:firstColumn="1" w:firstRow="1" w:lastColumn="0" w:lastRow="0" w:noHBand="0" w:noVBand="1" w:val="04A0"/>
      </w:tblPr>
      <w:tblGrid>
        <w:gridCol w:w="3475"/>
        <w:gridCol w:w="3475"/>
        <w:gridCol w:w="3475"/>
      </w:tblGrid>
      <w:tr>
        <w:tc>
          <w:tcPr>
            <w:tcW w:type="dxa" w:w="2041"/>
            <w:tcBorders>
              <w:top w:val="single" w:sz="12" w:color="000000"/>
              <w:bottom w:val="single" w:sz="12" w:color="000000"/>
            </w:tcBorders>
          </w:tcPr>
          <w:p>
            <w:r>
              <w:rPr>
                <w:b/>
                <w:color w:val="000000"/>
                <w:sz w:val="20"/>
              </w:rPr>
              <w:t>Indicateur</w:t>
            </w:r>
          </w:p>
        </w:tc>
        <w:tc>
          <w:tcPr>
            <w:tcW w:type="dxa" w:w="5556"/>
            <w:tcBorders>
              <w:top w:val="single" w:sz="12" w:color="000000"/>
              <w:bottom w:val="single" w:sz="12" w:color="000000"/>
            </w:tcBorders>
          </w:tcPr>
          <w:p>
            <w:r>
              <w:rPr>
                <w:b/>
                <w:color w:val="000000"/>
                <w:sz w:val="20"/>
              </w:rPr>
              <w:t>Définition (privé si...)</w:t>
            </w:r>
          </w:p>
        </w:tc>
        <w:tc>
          <w:tcPr>
            <w:tcW w:type="dxa" w:w="2381"/>
            <w:tcBorders>
              <w:top w:val="single" w:sz="12" w:color="000000"/>
              <w:bottom w:val="single" w:sz="12" w:color="000000"/>
            </w:tcBorders>
          </w:tcPr>
          <w:p>
            <w:r>
              <w:rPr>
                <w:b/>
                <w:color w:val="000000"/>
                <w:sz w:val="20"/>
              </w:rPr>
              <w:t>Variables (2018 / 2021)</w:t>
            </w:r>
          </w:p>
        </w:tc>
      </w:tr>
      <w:tr>
        <w:tc>
          <w:tcPr>
            <w:tcW w:type="dxa" w:w="2041"/>
            <w:tcBorders>
              <w:top w:val="single" w:sz="4" w:color="000000"/>
              <w:bottom w:val="single" w:sz="4" w:color="000000"/>
            </w:tcBorders>
          </w:tcPr>
          <w:p>
            <w:pPr>
              <w:spacing w:after="40"/>
            </w:pPr>
            <w:r>
              <w:rPr>
                <w:b/>
                <w:color w:val="000000"/>
                <w:sz w:val="19"/>
              </w:rPr>
              <w:t>Source d'eau non améliorée</w:t>
            </w:r>
          </w:p>
        </w:tc>
        <w:tc>
          <w:tcPr>
            <w:tcW w:type="dxa" w:w="5556"/>
            <w:tcBorders>
              <w:top w:val="single" w:sz="4" w:color="000000"/>
              <w:bottom w:val="single" w:sz="4" w:color="000000"/>
            </w:tcBorders>
          </w:tcPr>
          <w:p>
            <w:pPr>
              <w:spacing w:after="40"/>
            </w:pPr>
            <w:r>
              <w:rPr>
                <w:color w:val="000000"/>
                <w:sz w:val="19"/>
              </w:rPr>
              <w:t>la source de boisson est non améliorée (puits ouvert cour/concession 5, puits ouvert ailleurs 6, source non aménagée 12, fleuve/rivière/lac 13, vendeur ambulant 16, autre 17, à l'une ou l'autre saison), et le ménage ne traite pas son eau (filtre de traitement différent de « oui »).</w:t>
            </w:r>
          </w:p>
        </w:tc>
        <w:tc>
          <w:tcPr>
            <w:tcW w:type="dxa" w:w="2381"/>
            <w:tcBorders>
              <w:top w:val="single" w:sz="4" w:color="000000"/>
              <w:bottom w:val="single" w:sz="4" w:color="000000"/>
            </w:tcBorders>
          </w:tcPr>
          <w:p>
            <w:pPr>
              <w:spacing w:after="40"/>
            </w:pPr>
            <w:r>
              <w:rPr>
                <w:color w:val="000000"/>
                <w:sz w:val="19"/>
              </w:rPr>
              <w:t>Source : s11q27a, s11q27b / s11q26a, s11q26b. Filtre traitement : s11q32 / s11q31</w:t>
            </w:r>
          </w:p>
        </w:tc>
      </w:tr>
      <w:tr>
        <w:tc>
          <w:tcPr>
            <w:tcW w:type="dxa" w:w="2041"/>
            <w:tcBorders>
              <w:top w:val="single" w:sz="4" w:color="000000"/>
              <w:bottom w:val="single" w:sz="4" w:color="000000"/>
            </w:tcBorders>
          </w:tcPr>
          <w:p>
            <w:pPr>
              <w:spacing w:after="40"/>
            </w:pPr>
            <w:r>
              <w:rPr>
                <w:b/>
                <w:color w:val="000000"/>
                <w:sz w:val="19"/>
              </w:rPr>
              <w:t>Temps d'accès à l'eau</w:t>
            </w:r>
          </w:p>
        </w:tc>
        <w:tc>
          <w:tcPr>
            <w:tcW w:type="dxa" w:w="5556"/>
            <w:tcBorders>
              <w:top w:val="single" w:sz="4" w:color="000000"/>
              <w:bottom w:val="single" w:sz="4" w:color="000000"/>
            </w:tcBorders>
          </w:tcPr>
          <w:p>
            <w:pPr>
              <w:spacing w:after="40"/>
            </w:pPr>
            <w:r>
              <w:rPr>
                <w:color w:val="000000"/>
                <w:sz w:val="19"/>
              </w:rPr>
              <w:t>le temps de collecte (aller plus attente à la source) dépasse 30 min à l'une ou l'autre saison.</w:t>
            </w:r>
          </w:p>
        </w:tc>
        <w:tc>
          <w:tcPr>
            <w:tcW w:type="dxa" w:w="2381"/>
            <w:tcBorders>
              <w:top w:val="single" w:sz="4" w:color="000000"/>
              <w:bottom w:val="single" w:sz="4" w:color="000000"/>
            </w:tcBorders>
          </w:tcPr>
          <w:p>
            <w:pPr>
              <w:spacing w:after="40"/>
            </w:pPr>
            <w:r>
              <w:rPr>
                <w:color w:val="000000"/>
                <w:sz w:val="19"/>
              </w:rPr>
              <w:t>s11q29a, s11q31a (+ h/min) / s11q28a, s11q30a</w:t>
            </w:r>
          </w:p>
        </w:tc>
      </w:tr>
    </w:tbl>
    <w:p>
      <w:pPr>
        <w:pStyle w:val="Heading2"/>
        <w:spacing w:before="160" w:after="40"/>
      </w:pPr>
      <w:r>
        <w:rPr>
          <w:b/>
          <w:color w:val="000000"/>
          <w:sz w:val="25"/>
        </w:rPr>
        <w:t>3. Logement</w:t>
      </w:r>
    </w:p>
    <w:tbl>
      <w:tblPr>
        <w:tblW w:type="auto" w:w="0"/>
        <w:tblLayout w:type="fixed"/>
        <w:tblLook w:firstColumn="1" w:firstRow="1" w:lastColumn="0" w:lastRow="0" w:noHBand="0" w:noVBand="1" w:val="04A0"/>
      </w:tblPr>
      <w:tblGrid>
        <w:gridCol w:w="3475"/>
        <w:gridCol w:w="3475"/>
        <w:gridCol w:w="3475"/>
      </w:tblGrid>
      <w:tr>
        <w:tc>
          <w:tcPr>
            <w:tcW w:type="dxa" w:w="2041"/>
            <w:tcBorders>
              <w:top w:val="single" w:sz="12" w:color="000000"/>
              <w:bottom w:val="single" w:sz="12" w:color="000000"/>
            </w:tcBorders>
          </w:tcPr>
          <w:p>
            <w:r>
              <w:rPr>
                <w:b/>
                <w:color w:val="000000"/>
                <w:sz w:val="20"/>
              </w:rPr>
              <w:t>Indicateur</w:t>
            </w:r>
          </w:p>
        </w:tc>
        <w:tc>
          <w:tcPr>
            <w:tcW w:type="dxa" w:w="5556"/>
            <w:tcBorders>
              <w:top w:val="single" w:sz="12" w:color="000000"/>
              <w:bottom w:val="single" w:sz="12" w:color="000000"/>
            </w:tcBorders>
          </w:tcPr>
          <w:p>
            <w:r>
              <w:rPr>
                <w:b/>
                <w:color w:val="000000"/>
                <w:sz w:val="20"/>
              </w:rPr>
              <w:t>Définition (privé si...)</w:t>
            </w:r>
          </w:p>
        </w:tc>
        <w:tc>
          <w:tcPr>
            <w:tcW w:type="dxa" w:w="2381"/>
            <w:tcBorders>
              <w:top w:val="single" w:sz="12" w:color="000000"/>
              <w:bottom w:val="single" w:sz="12" w:color="000000"/>
            </w:tcBorders>
          </w:tcPr>
          <w:p>
            <w:r>
              <w:rPr>
                <w:b/>
                <w:color w:val="000000"/>
                <w:sz w:val="20"/>
              </w:rPr>
              <w:t>Variables (2018 / 2021)</w:t>
            </w:r>
          </w:p>
        </w:tc>
      </w:tr>
      <w:tr>
        <w:tc>
          <w:tcPr>
            <w:tcW w:type="dxa" w:w="2041"/>
            <w:tcBorders>
              <w:top w:val="single" w:sz="4" w:color="000000"/>
              <w:bottom w:val="single" w:sz="4" w:color="000000"/>
            </w:tcBorders>
          </w:tcPr>
          <w:p>
            <w:pPr>
              <w:spacing w:after="40"/>
            </w:pPr>
            <w:r>
              <w:rPr>
                <w:b/>
                <w:color w:val="000000"/>
                <w:sz w:val="19"/>
              </w:rPr>
              <w:t>Débarras des ordures</w:t>
            </w:r>
          </w:p>
        </w:tc>
        <w:tc>
          <w:tcPr>
            <w:tcW w:type="dxa" w:w="5556"/>
            <w:tcBorders>
              <w:top w:val="single" w:sz="4" w:color="000000"/>
              <w:bottom w:val="single" w:sz="4" w:color="000000"/>
            </w:tcBorders>
          </w:tcPr>
          <w:p>
            <w:pPr>
              <w:spacing w:after="40"/>
            </w:pPr>
            <w:r>
              <w:rPr>
                <w:color w:val="000000"/>
                <w:sz w:val="19"/>
              </w:rPr>
              <w:t>le ménage évacue ses ordures de façon inadéquate : brûlées (3), dépotoir sauvage (5), autre (6).</w:t>
            </w:r>
          </w:p>
        </w:tc>
        <w:tc>
          <w:tcPr>
            <w:tcW w:type="dxa" w:w="2381"/>
            <w:tcBorders>
              <w:top w:val="single" w:sz="4" w:color="000000"/>
              <w:bottom w:val="single" w:sz="4" w:color="000000"/>
            </w:tcBorders>
          </w:tcPr>
          <w:p>
            <w:pPr>
              <w:spacing w:after="40"/>
            </w:pPr>
            <w:r>
              <w:rPr>
                <w:color w:val="000000"/>
                <w:sz w:val="19"/>
              </w:rPr>
              <w:t>s11q54 / s11q53</w:t>
            </w:r>
          </w:p>
        </w:tc>
      </w:tr>
      <w:tr>
        <w:tc>
          <w:tcPr>
            <w:tcW w:type="dxa" w:w="2041"/>
            <w:tcBorders>
              <w:top w:val="single" w:sz="4" w:color="000000"/>
              <w:bottom w:val="single" w:sz="4" w:color="000000"/>
            </w:tcBorders>
          </w:tcPr>
          <w:p>
            <w:pPr>
              <w:spacing w:after="40"/>
            </w:pPr>
            <w:r>
              <w:rPr>
                <w:b/>
                <w:color w:val="000000"/>
                <w:sz w:val="19"/>
              </w:rPr>
              <w:t>Surpeuplement</w:t>
            </w:r>
          </w:p>
        </w:tc>
        <w:tc>
          <w:tcPr>
            <w:tcW w:type="dxa" w:w="5556"/>
            <w:tcBorders>
              <w:top w:val="single" w:sz="4" w:color="000000"/>
              <w:bottom w:val="single" w:sz="4" w:color="000000"/>
            </w:tcBorders>
          </w:tcPr>
          <w:p>
            <w:pPr>
              <w:spacing w:after="40"/>
            </w:pPr>
            <w:r>
              <w:rPr>
                <w:color w:val="000000"/>
                <w:sz w:val="19"/>
              </w:rPr>
              <w:t>au moins 4 personnes par pièce (ratio taille/pièces supérieur ou égal à 4 ; lecture ANSD de « plus de 3 personnes par pièce »).</w:t>
            </w:r>
          </w:p>
        </w:tc>
        <w:tc>
          <w:tcPr>
            <w:tcW w:type="dxa" w:w="2381"/>
            <w:tcBorders>
              <w:top w:val="single" w:sz="4" w:color="000000"/>
              <w:bottom w:val="single" w:sz="4" w:color="000000"/>
            </w:tcBorders>
          </w:tcPr>
          <w:p>
            <w:pPr>
              <w:spacing w:after="40"/>
            </w:pPr>
            <w:r>
              <w:rPr>
                <w:color w:val="000000"/>
                <w:sz w:val="19"/>
              </w:rPr>
              <w:t>hhsize (roster) / s11q02 (pièces)</w:t>
            </w:r>
          </w:p>
        </w:tc>
      </w:tr>
    </w:tbl>
    <w:p>
      <w:pPr>
        <w:pStyle w:val="Heading2"/>
        <w:spacing w:before="160" w:after="40"/>
      </w:pPr>
      <w:r>
        <w:rPr>
          <w:b/>
          <w:color w:val="000000"/>
          <w:sz w:val="25"/>
        </w:rPr>
        <w:t>4. Nutrition</w:t>
      </w:r>
    </w:p>
    <w:tbl>
      <w:tblPr>
        <w:tblW w:type="auto" w:w="0"/>
        <w:tblLayout w:type="fixed"/>
        <w:tblLook w:firstColumn="1" w:firstRow="1" w:lastColumn="0" w:lastRow="0" w:noHBand="0" w:noVBand="1" w:val="04A0"/>
      </w:tblPr>
      <w:tblGrid>
        <w:gridCol w:w="3475"/>
        <w:gridCol w:w="3475"/>
        <w:gridCol w:w="3475"/>
      </w:tblGrid>
      <w:tr>
        <w:tc>
          <w:tcPr>
            <w:tcW w:type="dxa" w:w="2041"/>
            <w:tcBorders>
              <w:top w:val="single" w:sz="12" w:color="000000"/>
              <w:bottom w:val="single" w:sz="12" w:color="000000"/>
            </w:tcBorders>
          </w:tcPr>
          <w:p>
            <w:r>
              <w:rPr>
                <w:b/>
                <w:color w:val="000000"/>
                <w:sz w:val="20"/>
              </w:rPr>
              <w:t>Indicateur</w:t>
            </w:r>
          </w:p>
        </w:tc>
        <w:tc>
          <w:tcPr>
            <w:tcW w:type="dxa" w:w="5556"/>
            <w:tcBorders>
              <w:top w:val="single" w:sz="12" w:color="000000"/>
              <w:bottom w:val="single" w:sz="12" w:color="000000"/>
            </w:tcBorders>
          </w:tcPr>
          <w:p>
            <w:r>
              <w:rPr>
                <w:b/>
                <w:color w:val="000000"/>
                <w:sz w:val="20"/>
              </w:rPr>
              <w:t>Définition (privé si...)</w:t>
            </w:r>
          </w:p>
        </w:tc>
        <w:tc>
          <w:tcPr>
            <w:tcW w:type="dxa" w:w="2381"/>
            <w:tcBorders>
              <w:top w:val="single" w:sz="12" w:color="000000"/>
              <w:bottom w:val="single" w:sz="12" w:color="000000"/>
            </w:tcBorders>
          </w:tcPr>
          <w:p>
            <w:r>
              <w:rPr>
                <w:b/>
                <w:color w:val="000000"/>
                <w:sz w:val="20"/>
              </w:rPr>
              <w:t>Variables (2018 / 2021)</w:t>
            </w:r>
          </w:p>
        </w:tc>
      </w:tr>
      <w:tr>
        <w:tc>
          <w:tcPr>
            <w:tcW w:type="dxa" w:w="2041"/>
            <w:tcBorders>
              <w:top w:val="single" w:sz="4" w:color="000000"/>
              <w:bottom w:val="single" w:sz="4" w:color="000000"/>
            </w:tcBorders>
          </w:tcPr>
          <w:p>
            <w:pPr>
              <w:spacing w:after="40"/>
            </w:pPr>
            <w:r>
              <w:rPr>
                <w:b/>
                <w:color w:val="000000"/>
                <w:sz w:val="19"/>
              </w:rPr>
              <w:t>Insécurité alimentaire (FIES)</w:t>
            </w:r>
          </w:p>
        </w:tc>
        <w:tc>
          <w:tcPr>
            <w:tcW w:type="dxa" w:w="5556"/>
            <w:tcBorders>
              <w:top w:val="single" w:sz="4" w:color="000000"/>
              <w:bottom w:val="single" w:sz="4" w:color="000000"/>
            </w:tcBorders>
          </w:tcPr>
          <w:p>
            <w:pPr>
              <w:spacing w:after="40"/>
            </w:pPr>
            <w:r>
              <w:rPr>
                <w:color w:val="000000"/>
                <w:sz w:val="19"/>
              </w:rPr>
              <w:t>un membre du ménage a, faute de ressources, sauté un repas, mangé moins que nécessaire, manqué de nourriture, eu faim sans manger, ou passé une journée sans manger. La diversité des repas n'est pas retenue (module non comparable entre vagues).</w:t>
            </w:r>
          </w:p>
        </w:tc>
        <w:tc>
          <w:tcPr>
            <w:tcW w:type="dxa" w:w="2381"/>
            <w:tcBorders>
              <w:top w:val="single" w:sz="4" w:color="000000"/>
              <w:bottom w:val="single" w:sz="4" w:color="000000"/>
            </w:tcBorders>
          </w:tcPr>
          <w:p>
            <w:pPr>
              <w:spacing w:after="40"/>
            </w:pPr>
            <w:r>
              <w:rPr>
                <w:color w:val="000000"/>
                <w:sz w:val="19"/>
              </w:rPr>
              <w:t>s08aq04 à s08aq08</w:t>
            </w:r>
          </w:p>
        </w:tc>
      </w:tr>
    </w:tbl>
    <w:p>
      <w:pPr>
        <w:pStyle w:val="Heading2"/>
        <w:spacing w:before="160" w:after="40"/>
      </w:pPr>
      <w:r>
        <w:rPr>
          <w:b/>
          <w:color w:val="000000"/>
          <w:sz w:val="25"/>
        </w:rPr>
        <w:t>5. Santé  (dimension = union des deux indicateurs)</w:t>
      </w:r>
    </w:p>
    <w:tbl>
      <w:tblPr>
        <w:tblW w:type="auto" w:w="0"/>
        <w:tblLayout w:type="fixed"/>
        <w:tblLook w:firstColumn="1" w:firstRow="1" w:lastColumn="0" w:lastRow="0" w:noHBand="0" w:noVBand="1" w:val="04A0"/>
      </w:tblPr>
      <w:tblGrid>
        <w:gridCol w:w="3475"/>
        <w:gridCol w:w="3475"/>
        <w:gridCol w:w="3475"/>
      </w:tblGrid>
      <w:tr>
        <w:tc>
          <w:tcPr>
            <w:tcW w:type="dxa" w:w="2041"/>
            <w:tcBorders>
              <w:top w:val="single" w:sz="12" w:color="000000"/>
              <w:bottom w:val="single" w:sz="12" w:color="000000"/>
            </w:tcBorders>
          </w:tcPr>
          <w:p>
            <w:r>
              <w:rPr>
                <w:b/>
                <w:color w:val="000000"/>
                <w:sz w:val="20"/>
              </w:rPr>
              <w:t>Indicateur</w:t>
            </w:r>
          </w:p>
        </w:tc>
        <w:tc>
          <w:tcPr>
            <w:tcW w:type="dxa" w:w="5556"/>
            <w:tcBorders>
              <w:top w:val="single" w:sz="12" w:color="000000"/>
              <w:bottom w:val="single" w:sz="12" w:color="000000"/>
            </w:tcBorders>
          </w:tcPr>
          <w:p>
            <w:r>
              <w:rPr>
                <w:b/>
                <w:color w:val="000000"/>
                <w:sz w:val="20"/>
              </w:rPr>
              <w:t>Définition (privé si...)</w:t>
            </w:r>
          </w:p>
        </w:tc>
        <w:tc>
          <w:tcPr>
            <w:tcW w:type="dxa" w:w="2381"/>
            <w:tcBorders>
              <w:top w:val="single" w:sz="12" w:color="000000"/>
              <w:bottom w:val="single" w:sz="12" w:color="000000"/>
            </w:tcBorders>
          </w:tcPr>
          <w:p>
            <w:r>
              <w:rPr>
                <w:b/>
                <w:color w:val="000000"/>
                <w:sz w:val="20"/>
              </w:rPr>
              <w:t>Variables (2018 / 2021)</w:t>
            </w:r>
          </w:p>
        </w:tc>
      </w:tr>
      <w:tr>
        <w:tc>
          <w:tcPr>
            <w:tcW w:type="dxa" w:w="2041"/>
            <w:tcBorders>
              <w:top w:val="single" w:sz="4" w:color="000000"/>
              <w:bottom w:val="single" w:sz="4" w:color="000000"/>
            </w:tcBorders>
          </w:tcPr>
          <w:p>
            <w:pPr>
              <w:spacing w:after="40"/>
            </w:pPr>
            <w:r>
              <w:rPr>
                <w:b/>
                <w:color w:val="000000"/>
                <w:sz w:val="19"/>
              </w:rPr>
              <w:t>Combustible solide pour cuisiner</w:t>
            </w:r>
          </w:p>
        </w:tc>
        <w:tc>
          <w:tcPr>
            <w:tcW w:type="dxa" w:w="5556"/>
            <w:tcBorders>
              <w:top w:val="single" w:sz="4" w:color="000000"/>
              <w:bottom w:val="single" w:sz="4" w:color="000000"/>
            </w:tcBorders>
          </w:tcPr>
          <w:p>
            <w:pPr>
              <w:spacing w:after="40"/>
            </w:pPr>
            <w:r>
              <w:rPr>
                <w:color w:val="000000"/>
                <w:sz w:val="19"/>
              </w:rPr>
              <w:t>le ménage cuisine avec un combustible solide : bois (ramassé/acheté), charbon de bois, déchets animaux, autres.</w:t>
            </w:r>
          </w:p>
        </w:tc>
        <w:tc>
          <w:tcPr>
            <w:tcW w:type="dxa" w:w="2381"/>
            <w:tcBorders>
              <w:top w:val="single" w:sz="4" w:color="000000"/>
              <w:bottom w:val="single" w:sz="4" w:color="000000"/>
            </w:tcBorders>
          </w:tcPr>
          <w:p>
            <w:pPr>
              <w:spacing w:after="40"/>
            </w:pPr>
            <w:r>
              <w:rPr>
                <w:color w:val="000000"/>
                <w:sz w:val="19"/>
              </w:rPr>
              <w:t>s11q53__1,2,3,7,8 / s11q52</w:t>
            </w:r>
          </w:p>
        </w:tc>
      </w:tr>
      <w:tr>
        <w:tc>
          <w:tcPr>
            <w:tcW w:type="dxa" w:w="2041"/>
            <w:tcBorders>
              <w:top w:val="single" w:sz="4" w:color="000000"/>
              <w:bottom w:val="single" w:sz="4" w:color="000000"/>
            </w:tcBorders>
          </w:tcPr>
          <w:p>
            <w:pPr>
              <w:spacing w:after="40"/>
            </w:pPr>
            <w:r>
              <w:rPr>
                <w:b/>
                <w:color w:val="000000"/>
                <w:sz w:val="19"/>
              </w:rPr>
              <w:t>Accès à une structure de santé</w:t>
            </w:r>
          </w:p>
        </w:tc>
        <w:tc>
          <w:tcPr>
            <w:tcW w:type="dxa" w:w="5556"/>
            <w:tcBorders>
              <w:top w:val="single" w:sz="4" w:color="000000"/>
              <w:bottom w:val="single" w:sz="4" w:color="000000"/>
            </w:tcBorders>
          </w:tcPr>
          <w:p>
            <w:pPr>
              <w:spacing w:after="40"/>
            </w:pPr>
            <w:r>
              <w:rPr>
                <w:color w:val="000000"/>
                <w:sz w:val="19"/>
              </w:rPr>
              <w:t>l'enfant ne peut accéder à pied à une structure de santé publique (hôpital, service 5 ; autre centre de santé public, service 6) : le mode habituel pour rejoindre la plus proche n'est pas la marche.</w:t>
            </w:r>
          </w:p>
        </w:tc>
        <w:tc>
          <w:tcPr>
            <w:tcW w:type="dxa" w:w="2381"/>
            <w:tcBorders>
              <w:top w:val="single" w:sz="4" w:color="000000"/>
              <w:bottom w:val="single" w:sz="4" w:color="000000"/>
            </w:tcBorders>
          </w:tcPr>
          <w:p>
            <w:pPr>
              <w:spacing w:after="40"/>
            </w:pPr>
            <w:r>
              <w:rPr>
                <w:color w:val="000000"/>
                <w:sz w:val="19"/>
              </w:rPr>
              <w:t>Module communautaire s02_co : s02q00, s02q01__5/__6, s02q02</w:t>
            </w:r>
          </w:p>
        </w:tc>
      </w:tr>
    </w:tbl>
    <w:p>
      <w:pPr>
        <w:pStyle w:val="Heading2"/>
        <w:spacing w:before="160" w:after="40"/>
      </w:pPr>
      <w:r>
        <w:rPr>
          <w:b/>
          <w:color w:val="000000"/>
          <w:sz w:val="25"/>
        </w:rPr>
        <w:t>6. Protection de l'enfant</w:t>
      </w:r>
    </w:p>
    <w:tbl>
      <w:tblPr>
        <w:tblW w:type="auto" w:w="0"/>
        <w:tblLayout w:type="fixed"/>
        <w:tblLook w:firstColumn="1" w:firstRow="1" w:lastColumn="0" w:lastRow="0" w:noHBand="0" w:noVBand="1" w:val="04A0"/>
      </w:tblPr>
      <w:tblGrid>
        <w:gridCol w:w="3475"/>
        <w:gridCol w:w="3475"/>
        <w:gridCol w:w="3475"/>
      </w:tblGrid>
      <w:tr>
        <w:tc>
          <w:tcPr>
            <w:tcW w:type="dxa" w:w="2041"/>
            <w:tcBorders>
              <w:top w:val="single" w:sz="12" w:color="000000"/>
              <w:bottom w:val="single" w:sz="12" w:color="000000"/>
            </w:tcBorders>
          </w:tcPr>
          <w:p>
            <w:r>
              <w:rPr>
                <w:b/>
                <w:color w:val="000000"/>
                <w:sz w:val="20"/>
              </w:rPr>
              <w:t>Indicateur</w:t>
            </w:r>
          </w:p>
        </w:tc>
        <w:tc>
          <w:tcPr>
            <w:tcW w:type="dxa" w:w="5556"/>
            <w:tcBorders>
              <w:top w:val="single" w:sz="12" w:color="000000"/>
              <w:bottom w:val="single" w:sz="12" w:color="000000"/>
            </w:tcBorders>
          </w:tcPr>
          <w:p>
            <w:r>
              <w:rPr>
                <w:b/>
                <w:color w:val="000000"/>
                <w:sz w:val="20"/>
              </w:rPr>
              <w:t>Définition (privé si...)</w:t>
            </w:r>
          </w:p>
        </w:tc>
        <w:tc>
          <w:tcPr>
            <w:tcW w:type="dxa" w:w="2381"/>
            <w:tcBorders>
              <w:top w:val="single" w:sz="12" w:color="000000"/>
              <w:bottom w:val="single" w:sz="12" w:color="000000"/>
            </w:tcBorders>
          </w:tcPr>
          <w:p>
            <w:r>
              <w:rPr>
                <w:b/>
                <w:color w:val="000000"/>
                <w:sz w:val="20"/>
              </w:rPr>
              <w:t>Variables (2018 / 2021)</w:t>
            </w:r>
          </w:p>
        </w:tc>
      </w:tr>
      <w:tr>
        <w:tc>
          <w:tcPr>
            <w:tcW w:type="dxa" w:w="2041"/>
            <w:tcBorders>
              <w:top w:val="single" w:sz="4" w:color="000000"/>
              <w:bottom w:val="single" w:sz="4" w:color="000000"/>
            </w:tcBorders>
          </w:tcPr>
          <w:p>
            <w:pPr>
              <w:spacing w:after="40"/>
            </w:pPr>
            <w:r>
              <w:rPr>
                <w:b/>
                <w:color w:val="000000"/>
                <w:sz w:val="19"/>
              </w:rPr>
              <w:t>Absence d'acte de naissance</w:t>
            </w:r>
          </w:p>
        </w:tc>
        <w:tc>
          <w:tcPr>
            <w:tcW w:type="dxa" w:w="5556"/>
            <w:tcBorders>
              <w:top w:val="single" w:sz="4" w:color="000000"/>
              <w:bottom w:val="single" w:sz="4" w:color="000000"/>
            </w:tcBorders>
          </w:tcPr>
          <w:p>
            <w:pPr>
              <w:spacing w:after="40"/>
            </w:pPr>
            <w:r>
              <w:rPr>
                <w:color w:val="000000"/>
                <w:sz w:val="19"/>
              </w:rPr>
              <w:t>l'enfant (moins de 15 ans) ne dispose pas d'un acte de naissance.</w:t>
            </w:r>
          </w:p>
        </w:tc>
        <w:tc>
          <w:tcPr>
            <w:tcW w:type="dxa" w:w="2381"/>
            <w:tcBorders>
              <w:top w:val="single" w:sz="4" w:color="000000"/>
              <w:bottom w:val="single" w:sz="4" w:color="000000"/>
            </w:tcBorders>
          </w:tcPr>
          <w:p>
            <w:pPr>
              <w:spacing w:after="40"/>
            </w:pPr>
            <w:r>
              <w:rPr>
                <w:color w:val="000000"/>
                <w:sz w:val="19"/>
              </w:rPr>
              <w:t>s01q05</w:t>
            </w:r>
          </w:p>
        </w:tc>
      </w:tr>
      <w:tr>
        <w:tc>
          <w:tcPr>
            <w:tcW w:type="dxa" w:w="2041"/>
            <w:tcBorders>
              <w:top w:val="single" w:sz="4" w:color="000000"/>
              <w:bottom w:val="single" w:sz="4" w:color="000000"/>
            </w:tcBorders>
          </w:tcPr>
          <w:p>
            <w:pPr>
              <w:spacing w:after="40"/>
            </w:pPr>
            <w:r>
              <w:rPr>
                <w:b/>
                <w:color w:val="000000"/>
                <w:sz w:val="19"/>
              </w:rPr>
              <w:t>Travail des enfants</w:t>
            </w:r>
          </w:p>
        </w:tc>
        <w:tc>
          <w:tcPr>
            <w:tcW w:type="dxa" w:w="5556"/>
            <w:tcBorders>
              <w:top w:val="single" w:sz="4" w:color="000000"/>
              <w:bottom w:val="single" w:sz="4" w:color="000000"/>
            </w:tcBorders>
          </w:tcPr>
          <w:p>
            <w:pPr>
              <w:spacing w:after="40"/>
            </w:pPr>
            <w:r>
              <w:rPr>
                <w:color w:val="000000"/>
                <w:sz w:val="19"/>
              </w:rPr>
              <w:t>l'enfant (5-14 ans) effectue un travail économique ou domestique d'au moins 1 heure. Domestique : heures de courses, travaux domestiques, garde, corvées d'eau et de bois. Économique : travail rémunéré ou pour propre compte.</w:t>
            </w:r>
          </w:p>
        </w:tc>
        <w:tc>
          <w:tcPr>
            <w:tcW w:type="dxa" w:w="2381"/>
            <w:tcBorders>
              <w:top w:val="single" w:sz="4" w:color="000000"/>
              <w:bottom w:val="single" w:sz="4" w:color="000000"/>
            </w:tcBorders>
          </w:tcPr>
          <w:p>
            <w:pPr>
              <w:spacing w:after="40"/>
            </w:pPr>
            <w:r>
              <w:rPr>
                <w:color w:val="000000"/>
                <w:sz w:val="19"/>
              </w:rPr>
              <w:t>Domestique : s04q01 à s04q05. Économique : s04q06 à s04q09</w:t>
            </w:r>
          </w:p>
        </w:tc>
      </w:tr>
      <w:tr>
        <w:tc>
          <w:tcPr>
            <w:tcW w:type="dxa" w:w="2041"/>
            <w:tcBorders>
              <w:top w:val="single" w:sz="4" w:color="000000"/>
              <w:bottom w:val="single" w:sz="4" w:color="000000"/>
            </w:tcBorders>
          </w:tcPr>
          <w:p>
            <w:pPr>
              <w:spacing w:after="40"/>
            </w:pPr>
            <w:r>
              <w:rPr>
                <w:b/>
                <w:color w:val="000000"/>
                <w:sz w:val="19"/>
              </w:rPr>
              <w:t>Séparation parentale</w:t>
            </w:r>
          </w:p>
        </w:tc>
        <w:tc>
          <w:tcPr>
            <w:tcW w:type="dxa" w:w="5556"/>
            <w:tcBorders>
              <w:top w:val="single" w:sz="4" w:color="000000"/>
              <w:bottom w:val="single" w:sz="4" w:color="000000"/>
            </w:tcBorders>
          </w:tcPr>
          <w:p>
            <w:pPr>
              <w:spacing w:after="40"/>
            </w:pPr>
            <w:r>
              <w:rPr>
                <w:color w:val="000000"/>
                <w:sz w:val="19"/>
              </w:rPr>
              <w:t>l'enfant ne vit pas avec ses deux parents biologiques (au moins un parent n'habite pas le ménage).</w:t>
            </w:r>
          </w:p>
        </w:tc>
        <w:tc>
          <w:tcPr>
            <w:tcW w:type="dxa" w:w="2381"/>
            <w:tcBorders>
              <w:top w:val="single" w:sz="4" w:color="000000"/>
              <w:bottom w:val="single" w:sz="4" w:color="000000"/>
            </w:tcBorders>
          </w:tcPr>
          <w:p>
            <w:pPr>
              <w:spacing w:after="40"/>
            </w:pPr>
            <w:r>
              <w:rPr>
                <w:color w:val="000000"/>
                <w:sz w:val="19"/>
              </w:rPr>
              <w:t>s01q22 (père) et s01q29 (mère)</w:t>
            </w:r>
          </w:p>
        </w:tc>
      </w:tr>
    </w:tbl>
    <w:p>
      <w:pPr>
        <w:pStyle w:val="Heading2"/>
        <w:spacing w:before="160" w:after="40"/>
      </w:pPr>
      <w:r>
        <w:rPr>
          <w:b/>
          <w:color w:val="000000"/>
          <w:sz w:val="25"/>
        </w:rPr>
        <w:t>7. Éducation</w:t>
      </w:r>
    </w:p>
    <w:tbl>
      <w:tblPr>
        <w:tblW w:type="auto" w:w="0"/>
        <w:tblLayout w:type="fixed"/>
        <w:tblLook w:firstColumn="1" w:firstRow="1" w:lastColumn="0" w:lastRow="0" w:noHBand="0" w:noVBand="1" w:val="04A0"/>
      </w:tblPr>
      <w:tblGrid>
        <w:gridCol w:w="3475"/>
        <w:gridCol w:w="3475"/>
        <w:gridCol w:w="3475"/>
      </w:tblGrid>
      <w:tr>
        <w:tc>
          <w:tcPr>
            <w:tcW w:type="dxa" w:w="2041"/>
            <w:tcBorders>
              <w:top w:val="single" w:sz="12" w:color="000000"/>
              <w:bottom w:val="single" w:sz="12" w:color="000000"/>
            </w:tcBorders>
          </w:tcPr>
          <w:p>
            <w:r>
              <w:rPr>
                <w:b/>
                <w:color w:val="000000"/>
                <w:sz w:val="20"/>
              </w:rPr>
              <w:t>Indicateur</w:t>
            </w:r>
          </w:p>
        </w:tc>
        <w:tc>
          <w:tcPr>
            <w:tcW w:type="dxa" w:w="5556"/>
            <w:tcBorders>
              <w:top w:val="single" w:sz="12" w:color="000000"/>
              <w:bottom w:val="single" w:sz="12" w:color="000000"/>
            </w:tcBorders>
          </w:tcPr>
          <w:p>
            <w:r>
              <w:rPr>
                <w:b/>
                <w:color w:val="000000"/>
                <w:sz w:val="20"/>
              </w:rPr>
              <w:t>Définition (privé si...)</w:t>
            </w:r>
          </w:p>
        </w:tc>
        <w:tc>
          <w:tcPr>
            <w:tcW w:type="dxa" w:w="2381"/>
            <w:tcBorders>
              <w:top w:val="single" w:sz="12" w:color="000000"/>
              <w:bottom w:val="single" w:sz="12" w:color="000000"/>
            </w:tcBorders>
          </w:tcPr>
          <w:p>
            <w:r>
              <w:rPr>
                <w:b/>
                <w:color w:val="000000"/>
                <w:sz w:val="20"/>
              </w:rPr>
              <w:t>Variables (2018 / 2021)</w:t>
            </w:r>
          </w:p>
        </w:tc>
      </w:tr>
      <w:tr>
        <w:tc>
          <w:tcPr>
            <w:tcW w:type="dxa" w:w="2041"/>
            <w:tcBorders>
              <w:top w:val="single" w:sz="4" w:color="000000"/>
              <w:bottom w:val="single" w:sz="4" w:color="000000"/>
            </w:tcBorders>
          </w:tcPr>
          <w:p>
            <w:pPr>
              <w:spacing w:after="40"/>
            </w:pPr>
            <w:r>
              <w:rPr>
                <w:b/>
                <w:color w:val="000000"/>
                <w:sz w:val="19"/>
              </w:rPr>
              <w:t>Non-scolarisation</w:t>
            </w:r>
          </w:p>
        </w:tc>
        <w:tc>
          <w:tcPr>
            <w:tcW w:type="dxa" w:w="5556"/>
            <w:tcBorders>
              <w:top w:val="single" w:sz="4" w:color="000000"/>
              <w:bottom w:val="single" w:sz="4" w:color="000000"/>
            </w:tcBorders>
          </w:tcPr>
          <w:p>
            <w:pPr>
              <w:spacing w:after="40"/>
            </w:pPr>
            <w:r>
              <w:rPr>
                <w:color w:val="000000"/>
                <w:sz w:val="19"/>
              </w:rPr>
              <w:t>l'enfant (5-14 ans) n'est pas scolarisé.</w:t>
            </w:r>
          </w:p>
        </w:tc>
        <w:tc>
          <w:tcPr>
            <w:tcW w:type="dxa" w:w="2381"/>
            <w:tcBorders>
              <w:top w:val="single" w:sz="4" w:color="000000"/>
              <w:bottom w:val="single" w:sz="4" w:color="000000"/>
            </w:tcBorders>
          </w:tcPr>
          <w:p>
            <w:pPr>
              <w:spacing w:after="40"/>
            </w:pPr>
            <w:r>
              <w:rPr>
                <w:color w:val="000000"/>
                <w:sz w:val="19"/>
              </w:rPr>
              <w:t>scol (base individus)</w:t>
            </w:r>
          </w:p>
        </w:tc>
      </w:tr>
      <w:tr>
        <w:tc>
          <w:tcPr>
            <w:tcW w:type="dxa" w:w="2041"/>
            <w:tcBorders>
              <w:top w:val="single" w:sz="4" w:color="000000"/>
              <w:bottom w:val="single" w:sz="4" w:color="000000"/>
            </w:tcBorders>
          </w:tcPr>
          <w:p>
            <w:pPr>
              <w:spacing w:after="40"/>
            </w:pPr>
            <w:r>
              <w:rPr>
                <w:b/>
                <w:color w:val="000000"/>
                <w:sz w:val="19"/>
              </w:rPr>
              <w:t>Illettrisme</w:t>
            </w:r>
          </w:p>
        </w:tc>
        <w:tc>
          <w:tcPr>
            <w:tcW w:type="dxa" w:w="5556"/>
            <w:tcBorders>
              <w:top w:val="single" w:sz="4" w:color="000000"/>
              <w:bottom w:val="single" w:sz="4" w:color="000000"/>
            </w:tcBorders>
          </w:tcPr>
          <w:p>
            <w:pPr>
              <w:spacing w:after="40"/>
            </w:pPr>
            <w:r>
              <w:rPr>
                <w:color w:val="000000"/>
                <w:sz w:val="19"/>
              </w:rPr>
              <w:t>l'enfant (15-17 ans) ne sait ni lire ni écrire.</w:t>
            </w:r>
          </w:p>
        </w:tc>
        <w:tc>
          <w:tcPr>
            <w:tcW w:type="dxa" w:w="2381"/>
            <w:tcBorders>
              <w:top w:val="single" w:sz="4" w:color="000000"/>
              <w:bottom w:val="single" w:sz="4" w:color="000000"/>
            </w:tcBorders>
          </w:tcPr>
          <w:p>
            <w:pPr>
              <w:spacing w:after="40"/>
            </w:pPr>
            <w:r>
              <w:rPr>
                <w:color w:val="000000"/>
                <w:sz w:val="19"/>
              </w:rPr>
              <w:t>alfab / alfa (base individus)</w:t>
            </w:r>
          </w:p>
        </w:tc>
      </w:tr>
      <w:tr>
        <w:tc>
          <w:tcPr>
            <w:tcW w:type="dxa" w:w="2041"/>
            <w:tcBorders>
              <w:top w:val="single" w:sz="4" w:color="000000"/>
              <w:bottom w:val="single" w:sz="4" w:color="000000"/>
            </w:tcBorders>
          </w:tcPr>
          <w:p>
            <w:pPr>
              <w:spacing w:after="40"/>
            </w:pPr>
            <w:r>
              <w:rPr>
                <w:b/>
                <w:color w:val="000000"/>
                <w:sz w:val="19"/>
              </w:rPr>
              <w:t>NEET</w:t>
            </w:r>
          </w:p>
        </w:tc>
        <w:tc>
          <w:tcPr>
            <w:tcW w:type="dxa" w:w="5556"/>
            <w:tcBorders>
              <w:top w:val="single" w:sz="4" w:color="000000"/>
              <w:bottom w:val="single" w:sz="4" w:color="000000"/>
            </w:tcBorders>
          </w:tcPr>
          <w:p>
            <w:pPr>
              <w:spacing w:after="40"/>
            </w:pPr>
            <w:r>
              <w:rPr>
                <w:color w:val="000000"/>
                <w:sz w:val="19"/>
              </w:rPr>
              <w:t>Indicateur écarté. La valeur ANSD (85,7 %) correspond à la seule absence d'emploi, sans la condition de non-scolarisation, et compte donc les élèves comme privés : inutilisable comme privation éducative.</w:t>
            </w:r>
          </w:p>
        </w:tc>
        <w:tc>
          <w:tcPr>
            <w:tcW w:type="dxa" w:w="2381"/>
            <w:tcBorders>
              <w:top w:val="single" w:sz="4" w:color="000000"/>
              <w:bottom w:val="single" w:sz="4" w:color="000000"/>
            </w:tcBorders>
          </w:tcPr>
          <w:p>
            <w:pPr>
              <w:spacing w:after="40"/>
            </w:pPr>
            <w:r>
              <w:rPr>
                <w:color w:val="000000"/>
                <w:sz w:val="19"/>
              </w:rPr>
              <w:t>(scol, activ7j)</w:t>
            </w:r>
          </w:p>
        </w:tc>
      </w:tr>
    </w:tbl>
    <w:p>
      <w:pPr>
        <w:spacing w:before="200"/>
      </w:pPr>
      <w:r>
        <w:rPr>
          <w:i/>
          <w:color w:val="000000"/>
          <w:sz w:val="18"/>
        </w:rPr>
        <w:t>Note : les variables 2021 sont précisées après le « / » lorsqu'elles diffèrent de 2018. Les âges en gras restreignent l'indicateur au groupe concerné ; ailleurs l'indicateur, mesuré au niveau du ménage ou de la localité, s'applique à tous les groupes d'âge.</w:t>
      </w:r>
    </w:p>
    <w:sectPr w:rsidR="00FC693F" w:rsidRPr="0006063C" w:rsidSect="00034616">
      <w:pgSz w:w="12240" w:h="15840"/>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