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color w:val="0E6E96"/>
          <w:sz w:val="40"/>
          <w:szCs w:val="40"/>
        </w:rPr>
        <w:t xml:space="preserve">DISCOURS DE SOUTENANCE</w:t>
      </w:r>
    </w:p>
    <w:p>
      <w:pPr>
        <w:spacing w:after="600"/>
        <w:jc w:val="center"/>
      </w:pPr>
      <w:r>
        <w:rPr>
          <w:rFonts w:ascii="Times New Roman" w:cs="Times New Roman" w:eastAsia="Times New Roman" w:hAnsi="Times New Roman"/>
          <w:i/>
          <w:iCs/>
          <w:sz w:val="28"/>
          <w:szCs w:val="28"/>
        </w:rPr>
        <w:t xml:space="preserve">Impact des transferts de migrants sur la pauvreté multidimensionnelle des enfants au Sénégal</w:t>
      </w:r>
    </w:p>
    <w:p>
      <w:pPr>
        <w:spacing w:after="120"/>
        <w:jc w:val="center"/>
      </w:pPr>
      <w:r>
        <w:rPr>
          <w:rFonts w:ascii="Times New Roman" w:cs="Times New Roman" w:eastAsia="Times New Roman" w:hAnsi="Times New Roman"/>
          <w:b/>
          <w:bCs/>
          <w:sz w:val="26"/>
          <w:szCs w:val="26"/>
        </w:rPr>
        <w:t xml:space="preserve">Sié Rachid TRAORÉ</w:t>
      </w:r>
    </w:p>
    <w:p>
      <w:pPr>
        <w:spacing w:after="120"/>
        <w:jc w:val="center"/>
      </w:pPr>
      <w:r>
        <w:rPr>
          <w:rFonts w:ascii="Times New Roman" w:cs="Times New Roman" w:eastAsia="Times New Roman" w:hAnsi="Times New Roman"/>
          <w:sz w:val="24"/>
          <w:szCs w:val="24"/>
        </w:rPr>
        <w:t xml:space="preserve">Sous la direction de Mamadou Abdoulaye DIALLO</w:t>
      </w:r>
    </w:p>
    <w:p>
      <w:pPr>
        <w:spacing w:after="800"/>
        <w:jc w:val="center"/>
      </w:pPr>
      <w:r>
        <w:rPr>
          <w:rFonts w:ascii="Times New Roman" w:cs="Times New Roman" w:eastAsia="Times New Roman" w:hAnsi="Times New Roman"/>
          <w:color w:val="6E747E"/>
          <w:sz w:val="24"/>
          <w:szCs w:val="24"/>
        </w:rPr>
        <w:t xml:space="preserve">ENSAE Pierre Ndiaye  ·  Août 2026</w:t>
      </w:r>
    </w:p>
    <w:p>
      <w:pPr>
        <w:spacing w:after="120"/>
        <w:jc w:val="center"/>
      </w:pPr>
      <w:r>
        <w:rPr>
          <w:rFonts w:ascii="Times New Roman" w:cs="Times New Roman" w:eastAsia="Times New Roman" w:hAnsi="Times New Roman"/>
          <w:i/>
          <w:iCs/>
          <w:color w:val="6E747E"/>
          <w:sz w:val="22"/>
          <w:szCs w:val="22"/>
        </w:rPr>
        <w:t xml:space="preserve">Durée visée : 19 minutes  ·  31 diapositives</w:t>
      </w:r>
    </w:p>
    <w:p>
      <w:pPr>
        <w:pageBreakBefore/>
      </w:pPr>
      <w:r>
        <w:br/>
        <w:t xml:space="preserve"/>
      </w:r>
    </w:p>
    <w:p>
      <w:pPr>
        <w:pStyle w:val="Heading1"/>
        <w:spacing w:after="200" w:before="400"/>
      </w:pPr>
      <w:r>
        <w:rPr>
          <w:rFonts w:ascii="Times New Roman" w:cs="Times New Roman" w:eastAsia="Times New Roman" w:hAnsi="Times New Roman"/>
          <w:b/>
          <w:bCs/>
          <w:color w:val="0E6E96"/>
          <w:sz w:val="30"/>
          <w:szCs w:val="30"/>
        </w:rPr>
        <w:t xml:space="preserve">Ouverture</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de titre</w:t>
      </w:r>
      <w:r>
        <w:rPr>
          <w:rFonts w:ascii="Times New Roman" w:cs="Times New Roman" w:eastAsia="Times New Roman" w:hAnsi="Times New Roman"/>
          <w:color w:val="6E747E"/>
          <w:sz w:val="20"/>
          <w:szCs w:val="20"/>
        </w:rPr>
        <w:t xml:space="preserve">  ·  Page de garde</w:t>
      </w:r>
      <w:r>
        <w:rPr>
          <w:rFonts w:ascii="Times New Roman" w:cs="Times New Roman" w:eastAsia="Times New Roman" w:hAnsi="Times New Roman"/>
          <w:color w:val="6E747E"/>
          <w:sz w:val="20"/>
          <w:szCs w:val="20"/>
        </w:rPr>
        <w:t xml:space="preserve">	30 s</w:t>
      </w:r>
    </w:p>
    <w:p>
      <w:pPr>
        <w:spacing w:after="200" w:before="60"/>
      </w:pPr>
      <w:r>
        <w:rPr>
          <w:rFonts w:ascii="Times New Roman" w:cs="Times New Roman" w:eastAsia="Times New Roman" w:hAnsi="Times New Roman"/>
          <w:b/>
          <w:bCs/>
          <w:color w:val="0E6E96"/>
          <w:sz w:val="30"/>
          <w:szCs w:val="30"/>
        </w:rPr>
        <w:t xml:space="preserve">Monsieur le Président du jury, mesdames et messieurs, bonjour.</w:t>
      </w:r>
    </w:p>
    <w:p>
      <w:pPr>
        <w:spacing w:after="160" w:line="360"/>
        <w:jc w:val="both"/>
      </w:pPr>
      <w:r>
        <w:rPr>
          <w:rFonts w:ascii="Times New Roman" w:cs="Times New Roman" w:eastAsia="Times New Roman" w:hAnsi="Times New Roman"/>
          <w:sz w:val="24"/>
          <w:szCs w:val="24"/>
        </w:rPr>
        <w:t xml:space="preserve">Monsieur le Président du jury, Madame et Messieurs les membres du jury, Monsieur le Directeur de mémoire, mesdames et messieurs, bonjour.</w:t>
      </w:r>
    </w:p>
    <w:p>
      <w:pPr>
        <w:spacing w:after="160" w:line="360"/>
        <w:jc w:val="both"/>
      </w:pPr>
      <w:r>
        <w:rPr>
          <w:rFonts w:ascii="Times New Roman" w:cs="Times New Roman" w:eastAsia="Times New Roman" w:hAnsi="Times New Roman"/>
          <w:sz w:val="24"/>
          <w:szCs w:val="24"/>
        </w:rPr>
        <w:t xml:space="preserve">Je vous remercie de votre présence. Je vais vous présenter les résultats de mon mémoire de fin d'études, consacré à l'impact des transferts de migrants sur la pauvreté multidimensionnelle des enfants au Sénégal. Ce travail a été mené sous la direction de Monsieur Mamadou Abdoulaye Diallo, que je remercie pour son accompagnement.</w:t>
      </w:r>
    </w:p>
    <w:p>
      <w:pPr>
        <w:spacing w:after="160"/>
        <w:ind w:left="340"/>
      </w:pPr>
      <w:r>
        <w:rPr>
          <w:rFonts w:ascii="Times New Roman" w:cs="Times New Roman" w:eastAsia="Times New Roman" w:hAnsi="Times New Roman"/>
          <w:i/>
          <w:iCs/>
          <w:color w:val="6E747E"/>
          <w:sz w:val="22"/>
          <w:szCs w:val="22"/>
        </w:rPr>
        <w:t xml:space="preserve">Marquer un temps. Passer à la diapositive du plan.</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1</w:t>
      </w:r>
      <w:r>
        <w:rPr>
          <w:rFonts w:ascii="Times New Roman" w:cs="Times New Roman" w:eastAsia="Times New Roman" w:hAnsi="Times New Roman"/>
          <w:color w:val="6E747E"/>
          <w:sz w:val="20"/>
          <w:szCs w:val="20"/>
        </w:rPr>
        <w:t xml:space="preserve">  ·  Plan de la présentation</w:t>
      </w:r>
      <w:r>
        <w:rPr>
          <w:rFonts w:ascii="Times New Roman" w:cs="Times New Roman" w:eastAsia="Times New Roman" w:hAnsi="Times New Roman"/>
          <w:color w:val="6E747E"/>
          <w:sz w:val="20"/>
          <w:szCs w:val="20"/>
        </w:rPr>
        <w:t xml:space="preserve">	30 s</w:t>
      </w:r>
    </w:p>
    <w:p>
      <w:pPr>
        <w:spacing w:after="200" w:before="60"/>
      </w:pPr>
      <w:r>
        <w:rPr>
          <w:rFonts w:ascii="Times New Roman" w:cs="Times New Roman" w:eastAsia="Times New Roman" w:hAnsi="Times New Roman"/>
          <w:b/>
          <w:bCs/>
          <w:color w:val="0E6E96"/>
          <w:sz w:val="30"/>
          <w:szCs w:val="30"/>
        </w:rPr>
        <w:t xml:space="preserve">Mon exposé suivra six temps.</w:t>
      </w:r>
    </w:p>
    <w:p>
      <w:pPr>
        <w:spacing w:after="160" w:line="360"/>
        <w:jc w:val="both"/>
      </w:pPr>
      <w:r>
        <w:rPr>
          <w:rFonts w:ascii="Times New Roman" w:cs="Times New Roman" w:eastAsia="Times New Roman" w:hAnsi="Times New Roman"/>
          <w:sz w:val="24"/>
          <w:szCs w:val="24"/>
        </w:rPr>
        <w:t xml:space="preserve">Mon exposé suivra six temps. Je poserai d'abord le contexte et la question de recherche. Je situerai ensuite le travail dans la littérature. Je présenterai le cadre méthodologique, c'est-à-dire les données, la mesure de la pauvreté et la stratégie d'identification. Viendront alors les résultats, puis leur mise à l'épreuve et leur interprétation. Je terminerai par la conclusion et les recommandations.</w:t>
      </w:r>
    </w:p>
    <w:p>
      <w:pPr>
        <w:pStyle w:val="Heading1"/>
        <w:spacing w:after="200" w:before="400"/>
      </w:pPr>
      <w:r>
        <w:rPr>
          <w:rFonts w:ascii="Times New Roman" w:cs="Times New Roman" w:eastAsia="Times New Roman" w:hAnsi="Times New Roman"/>
          <w:b/>
          <w:bCs/>
          <w:color w:val="0E6E96"/>
          <w:sz w:val="30"/>
          <w:szCs w:val="30"/>
        </w:rPr>
        <w:t xml:space="preserve">Premier temps · Contexte et problématique</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2</w:t>
      </w:r>
      <w:r>
        <w:rPr>
          <w:rFonts w:ascii="Times New Roman" w:cs="Times New Roman" w:eastAsia="Times New Roman" w:hAnsi="Times New Roman"/>
          <w:color w:val="6E747E"/>
          <w:sz w:val="20"/>
          <w:szCs w:val="20"/>
        </w:rPr>
        <w:t xml:space="preserve">  ·  Contexte général</w:t>
      </w:r>
      <w:r>
        <w:rPr>
          <w:rFonts w:ascii="Times New Roman" w:cs="Times New Roman" w:eastAsia="Times New Roman" w:hAnsi="Times New Roman"/>
          <w:color w:val="6E747E"/>
          <w:sz w:val="20"/>
          <w:szCs w:val="20"/>
        </w:rPr>
        <w:t xml:space="preserve">	2 min</w:t>
      </w:r>
    </w:p>
    <w:p>
      <w:pPr>
        <w:spacing w:after="200" w:before="60"/>
      </w:pPr>
      <w:r>
        <w:rPr>
          <w:rFonts w:ascii="Times New Roman" w:cs="Times New Roman" w:eastAsia="Times New Roman" w:hAnsi="Times New Roman"/>
          <w:b/>
          <w:bCs/>
          <w:color w:val="0E6E96"/>
          <w:sz w:val="30"/>
          <w:szCs w:val="30"/>
        </w:rPr>
        <w:t xml:space="preserve">Deux réalités coexistent au Sénégal.</w:t>
      </w:r>
    </w:p>
    <w:p>
      <w:pPr>
        <w:spacing w:after="160" w:line="360"/>
        <w:jc w:val="both"/>
      </w:pPr>
      <w:r>
        <w:rPr>
          <w:rFonts w:ascii="Times New Roman" w:cs="Times New Roman" w:eastAsia="Times New Roman" w:hAnsi="Times New Roman"/>
          <w:sz w:val="24"/>
          <w:szCs w:val="24"/>
        </w:rPr>
        <w:t xml:space="preserve">Deux réalités coexistent au Sénégal, et c'est de leur rencontre que naît ce travail.</w:t>
      </w:r>
    </w:p>
    <w:p>
      <w:pPr>
        <w:spacing w:after="160" w:line="360"/>
        <w:jc w:val="both"/>
      </w:pPr>
      <w:r>
        <w:rPr>
          <w:rFonts w:ascii="Times New Roman" w:cs="Times New Roman" w:eastAsia="Times New Roman" w:hAnsi="Times New Roman"/>
          <w:sz w:val="24"/>
          <w:szCs w:val="24"/>
        </w:rPr>
        <w:t xml:space="preserve">La première est financière. Les transferts reçus de la diaspora sont passés de 233 millions de dollars en 2000 à 2 220 millions en 2017, soit de 166 à 1 242 milliards de francs CFA. Ils représentent 12,1 pour cent du produit intérieur brut, ce qui place le Sénégal au quatrième rang des récepteurs d'Afrique subsaharienne. Rapportés au ménage, les montants reçus avoisinent le seuil de pauvreté monétaire annuel par tête : il ne s'agit donc pas d'un appoint marginal, mais d'une ressource qui peut, en théorie, changer les conditions de vie.</w:t>
      </w:r>
    </w:p>
    <w:p>
      <w:pPr>
        <w:spacing w:after="160" w:line="360"/>
        <w:jc w:val="both"/>
      </w:pPr>
      <w:r>
        <w:rPr>
          <w:rFonts w:ascii="Times New Roman" w:cs="Times New Roman" w:eastAsia="Times New Roman" w:hAnsi="Times New Roman"/>
          <w:sz w:val="24"/>
          <w:szCs w:val="24"/>
        </w:rPr>
        <w:t xml:space="preserve">La seconde réalité est celle des enfants. En 2018, 50,7 pour cent des enfants de 0 à 17 ans étaient privés dans au moins quatre des sept domaines de leur bien-être : l'éducation, la santé, la nutrition, l'eau, l'assainissement, le logement et la protection. Ces manques échappent largement aux mesures fondées sur le seul revenu du ménage. Un enfant peut vivre dans un ménage situé au-dessus du seuil monétaire et rester déscolarisé, ou boire une eau non potable.</w:t>
      </w:r>
    </w:p>
    <w:p>
      <w:pPr>
        <w:spacing w:after="160"/>
        <w:ind w:left="340"/>
      </w:pPr>
      <w:r>
        <w:rPr>
          <w:rFonts w:ascii="Times New Roman" w:cs="Times New Roman" w:eastAsia="Times New Roman" w:hAnsi="Times New Roman"/>
          <w:i/>
          <w:iCs/>
          <w:color w:val="6E747E"/>
          <w:sz w:val="22"/>
          <w:szCs w:val="22"/>
        </w:rPr>
        <w:t xml:space="preserve">Insister sur le contraste entre les deux blocs avant d'enchaîner.</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3</w:t>
      </w:r>
      <w:r>
        <w:rPr>
          <w:rFonts w:ascii="Times New Roman" w:cs="Times New Roman" w:eastAsia="Times New Roman" w:hAnsi="Times New Roman"/>
          <w:color w:val="6E747E"/>
          <w:sz w:val="20"/>
          <w:szCs w:val="20"/>
        </w:rPr>
        <w:t xml:space="preserve">  ·  Problématique</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D'où la question qui structure ce mémoire.</w:t>
      </w:r>
    </w:p>
    <w:p>
      <w:pPr>
        <w:spacing w:after="160" w:line="360"/>
        <w:jc w:val="both"/>
      </w:pPr>
      <w:r>
        <w:rPr>
          <w:rFonts w:ascii="Times New Roman" w:cs="Times New Roman" w:eastAsia="Times New Roman" w:hAnsi="Times New Roman"/>
          <w:sz w:val="24"/>
          <w:szCs w:val="24"/>
        </w:rPr>
        <w:t xml:space="preserve">D'où la question qui structure ce mémoire : dans quelle mesure les transferts de migrants réduisent-ils la pauvreté multidimensionnelle des enfants au Sénégal ?</w:t>
      </w:r>
    </w:p>
    <w:p>
      <w:pPr>
        <w:spacing w:after="160" w:line="360"/>
        <w:jc w:val="both"/>
      </w:pPr>
      <w:r>
        <w:rPr>
          <w:rFonts w:ascii="Times New Roman" w:cs="Times New Roman" w:eastAsia="Times New Roman" w:hAnsi="Times New Roman"/>
          <w:sz w:val="24"/>
          <w:szCs w:val="24"/>
        </w:rPr>
        <w:t xml:space="preserve">La réponse n'a rien d'évident. Les transferts desserrent la contrainte budgétaire du ménage, mais un supplément de ressources ne se traduit pas mécaniquement par un recul des privations. Et surtout, recevoir des transferts suppose un réseau migratoire : les ménages bénéficiaires diffèrent des autres avant même le premier franc reçu. Toute comparaison directe attribuerait aux transferts des écarts qui leur préexistent.</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4</w:t>
      </w:r>
      <w:r>
        <w:rPr>
          <w:rFonts w:ascii="Times New Roman" w:cs="Times New Roman" w:eastAsia="Times New Roman" w:hAnsi="Times New Roman"/>
          <w:color w:val="6E747E"/>
          <w:sz w:val="20"/>
          <w:szCs w:val="20"/>
        </w:rPr>
        <w:t xml:space="preserve">  ·  Objectifs et hypothèses</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Cette question se décline en deux objectifs et deux hypothèses.</w:t>
      </w:r>
    </w:p>
    <w:p>
      <w:pPr>
        <w:spacing w:after="160" w:line="360"/>
        <w:jc w:val="both"/>
      </w:pPr>
      <w:r>
        <w:rPr>
          <w:rFonts w:ascii="Times New Roman" w:cs="Times New Roman" w:eastAsia="Times New Roman" w:hAnsi="Times New Roman"/>
          <w:sz w:val="24"/>
          <w:szCs w:val="24"/>
        </w:rPr>
        <w:t xml:space="preserve">L'objectif général est d'évaluer cet impact. Il se décline en deux objectifs spécifiques : construire un indice de pauvreté multidimensionnelle adapté aux enfants sénégalais, puis estimer l'effet des transferts sur cet indice et en analyser l'hétérogénéité.</w:t>
      </w:r>
    </w:p>
    <w:p>
      <w:pPr>
        <w:spacing w:after="160" w:line="360"/>
        <w:jc w:val="both"/>
      </w:pPr>
      <w:r>
        <w:rPr>
          <w:rFonts w:ascii="Times New Roman" w:cs="Times New Roman" w:eastAsia="Times New Roman" w:hAnsi="Times New Roman"/>
          <w:sz w:val="24"/>
          <w:szCs w:val="24"/>
        </w:rPr>
        <w:t xml:space="preserve">Deux hypothèses sont testées. La première, que les transferts réduisent significativement cette pauvreté. La seconde, que leur effet est hétérogène selon les dimensions du bien-être, le milieu de résidence, le genre du chef de ménage, l'âge de l'enfant et le montant reçu.</w:t>
      </w:r>
    </w:p>
    <w:p>
      <w:pPr>
        <w:pStyle w:val="Heading1"/>
        <w:spacing w:after="200" w:before="400"/>
      </w:pPr>
      <w:r>
        <w:rPr>
          <w:rFonts w:ascii="Times New Roman" w:cs="Times New Roman" w:eastAsia="Times New Roman" w:hAnsi="Times New Roman"/>
          <w:b/>
          <w:bCs/>
          <w:color w:val="0E6E96"/>
          <w:sz w:val="30"/>
          <w:szCs w:val="30"/>
        </w:rPr>
        <w:t xml:space="preserve">Deuxième temps · Revue de la littérature</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5</w:t>
      </w:r>
      <w:r>
        <w:rPr>
          <w:rFonts w:ascii="Times New Roman" w:cs="Times New Roman" w:eastAsia="Times New Roman" w:hAnsi="Times New Roman"/>
          <w:color w:val="6E747E"/>
          <w:sz w:val="20"/>
          <w:szCs w:val="20"/>
        </w:rPr>
        <w:t xml:space="preserve">  ·  Théories de la migration</w:t>
      </w:r>
      <w:r>
        <w:rPr>
          <w:rFonts w:ascii="Times New Roman" w:cs="Times New Roman" w:eastAsia="Times New Roman" w:hAnsi="Times New Roman"/>
          <w:color w:val="6E747E"/>
          <w:sz w:val="20"/>
          <w:szCs w:val="20"/>
        </w:rPr>
        <w:t xml:space="preserve">	1 min 15</w:t>
      </w:r>
    </w:p>
    <w:p>
      <w:pPr>
        <w:spacing w:after="200" w:before="60"/>
      </w:pPr>
      <w:r>
        <w:rPr>
          <w:rFonts w:ascii="Times New Roman" w:cs="Times New Roman" w:eastAsia="Times New Roman" w:hAnsi="Times New Roman"/>
          <w:b/>
          <w:bCs/>
          <w:color w:val="0E6E96"/>
          <w:sz w:val="30"/>
          <w:szCs w:val="30"/>
        </w:rPr>
        <w:t xml:space="preserve">Un mot d'abord sur la migration elle-même.</w:t>
      </w:r>
    </w:p>
    <w:p>
      <w:pPr>
        <w:spacing w:after="160" w:line="360"/>
        <w:jc w:val="both"/>
      </w:pPr>
      <w:r>
        <w:rPr>
          <w:rFonts w:ascii="Times New Roman" w:cs="Times New Roman" w:eastAsia="Times New Roman" w:hAnsi="Times New Roman"/>
          <w:sz w:val="24"/>
          <w:szCs w:val="24"/>
        </w:rPr>
        <w:t xml:space="preserve">Un mot d'abord sur la migration elle-même, car la décision de migrer et celle d'envoyer des fonds sont indissociables. La théorie néoclassique explique la migration par un calcul d'investissement : l'individu migre si la valeur actualisée des gains attendus à destination, nette des coûts du déplacement, excède ses gains d'origine, la décision se fondant sur le revenu espéré plutôt qu'effectif. Les envois de fonds sont alors le rendement de cet investissement migratoire.</w:t>
      </w:r>
    </w:p>
    <w:p>
      <w:pPr>
        <w:spacing w:after="160" w:line="360"/>
        <w:jc w:val="both"/>
      </w:pPr>
      <w:r>
        <w:rPr>
          <w:rFonts w:ascii="Times New Roman" w:cs="Times New Roman" w:eastAsia="Times New Roman" w:hAnsi="Times New Roman"/>
          <w:sz w:val="24"/>
          <w:szCs w:val="24"/>
        </w:rPr>
        <w:t xml:space="preserve">La théorie des réseaux complète cette approche. Les liens de parenté, d'amitié ou de communauté d'origine forment un capital social qui abaisse les coûts et les risques du départ : le migrant installé héberge le nouvel arrivant, l'informe et lui trouve un emploi. Chaque migration facilite ainsi les suivantes.</w:t>
      </w:r>
    </w:p>
    <w:p>
      <w:pPr>
        <w:spacing w:after="160" w:line="360"/>
        <w:jc w:val="both"/>
      </w:pPr>
      <w:r>
        <w:rPr>
          <w:rFonts w:ascii="Times New Roman" w:cs="Times New Roman" w:eastAsia="Times New Roman" w:hAnsi="Times New Roman"/>
          <w:sz w:val="24"/>
          <w:szCs w:val="24"/>
        </w:rPr>
        <w:t xml:space="preserve">J'insiste sur ce point, car il commande toute la suite du travail. Un ménage ne reçoit des transferts que si l'un des siens a pu émigrer, et il ne le peut que s'il dispose d'un réseau. Or l'accès au réseau dépend de l'histoire migratoire de la famille et du village, de la richesse initiale et des relations sociales du ménage. Les bénéficiaires diffèrent donc des autres avant même le premier franc reçu, et sur des caractéristiques dont certaines sont inobservables. C'est précisément ce que la stratégie d'identification devra traiter.</w:t>
      </w:r>
    </w:p>
    <w:p>
      <w:pPr>
        <w:spacing w:after="160"/>
        <w:ind w:left="340"/>
      </w:pPr>
      <w:r>
        <w:rPr>
          <w:rFonts w:ascii="Times New Roman" w:cs="Times New Roman" w:eastAsia="Times New Roman" w:hAnsi="Times New Roman"/>
          <w:i/>
          <w:iCs/>
          <w:color w:val="6E747E"/>
          <w:sz w:val="22"/>
          <w:szCs w:val="22"/>
        </w:rPr>
        <w:t xml:space="preserve">C'est le point charnière de l'exposé : le dire lentement.</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6</w:t>
      </w:r>
      <w:r>
        <w:rPr>
          <w:rFonts w:ascii="Times New Roman" w:cs="Times New Roman" w:eastAsia="Times New Roman" w:hAnsi="Times New Roman"/>
          <w:color w:val="6E747E"/>
          <w:sz w:val="20"/>
          <w:szCs w:val="20"/>
        </w:rPr>
        <w:t xml:space="preserve">  ·  Canaux de transmission</w:t>
      </w:r>
      <w:r>
        <w:rPr>
          <w:rFonts w:ascii="Times New Roman" w:cs="Times New Roman" w:eastAsia="Times New Roman" w:hAnsi="Times New Roman"/>
          <w:color w:val="6E747E"/>
          <w:sz w:val="20"/>
          <w:szCs w:val="20"/>
        </w:rPr>
        <w:t xml:space="preserve">	1 min 30</w:t>
      </w:r>
    </w:p>
    <w:p>
      <w:pPr>
        <w:spacing w:after="200" w:before="60"/>
      </w:pPr>
      <w:r>
        <w:rPr>
          <w:rFonts w:ascii="Times New Roman" w:cs="Times New Roman" w:eastAsia="Times New Roman" w:hAnsi="Times New Roman"/>
          <w:b/>
          <w:bCs/>
          <w:color w:val="0E6E96"/>
          <w:sz w:val="30"/>
          <w:szCs w:val="30"/>
        </w:rPr>
        <w:t xml:space="preserve">Pourquoi les migrants transfèrent-ils, et avec quels effets ?</w:t>
      </w:r>
    </w:p>
    <w:p>
      <w:pPr>
        <w:spacing w:after="160" w:line="360"/>
        <w:jc w:val="both"/>
      </w:pPr>
      <w:r>
        <w:rPr>
          <w:rFonts w:ascii="Times New Roman" w:cs="Times New Roman" w:eastAsia="Times New Roman" w:hAnsi="Times New Roman"/>
          <w:sz w:val="24"/>
          <w:szCs w:val="24"/>
        </w:rPr>
        <w:t xml:space="preserve">La littérature apporte trois enseignements.</w:t>
      </w:r>
    </w:p>
    <w:p>
      <w:pPr>
        <w:spacing w:after="160" w:line="360"/>
        <w:jc w:val="both"/>
      </w:pPr>
      <w:r>
        <w:rPr>
          <w:rFonts w:ascii="Times New Roman" w:cs="Times New Roman" w:eastAsia="Times New Roman" w:hAnsi="Times New Roman"/>
          <w:sz w:val="24"/>
          <w:szCs w:val="24"/>
        </w:rPr>
        <w:t xml:space="preserve">Le premier concerne les motivations. Trois familles se dégagent : l'altruisme, où les transferts décroissent avec le revenu du receveur ; l'intérêt personnel et l'échange, où il s'agit de préserver un héritage ou de rembourser la dette du départ ; et la diversification du risque, où les transferts assurent le ménage contre les chocs. Ces motivations importent, parce qu'elles déterminent qui reçoit, combien, et pour quoi.</w:t>
      </w:r>
    </w:p>
    <w:p>
      <w:pPr>
        <w:spacing w:after="160" w:line="360"/>
        <w:jc w:val="both"/>
      </w:pPr>
      <w:r>
        <w:rPr>
          <w:rFonts w:ascii="Times New Roman" w:cs="Times New Roman" w:eastAsia="Times New Roman" w:hAnsi="Times New Roman"/>
          <w:sz w:val="24"/>
          <w:szCs w:val="24"/>
        </w:rPr>
        <w:t xml:space="preserve">Le deuxième porte sur les effets établis. Sur la pauvreté monétaire, le recul est modeste et atténué par les coûts de transaction. Sur l'éducation, la scolarisation progresse. Sur la nutrition, les effets sont fragiles et conditionnels au maintien du lien avec le migrant.</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7</w:t>
      </w:r>
      <w:r>
        <w:rPr>
          <w:rFonts w:ascii="Times New Roman" w:cs="Times New Roman" w:eastAsia="Times New Roman" w:hAnsi="Times New Roman"/>
          <w:color w:val="6E747E"/>
          <w:sz w:val="20"/>
          <w:szCs w:val="20"/>
        </w:rPr>
        <w:t xml:space="preserve">  ·  Mesure multidimensionnelle</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Mesurer la pauvreté d'un enfant par le seul revenu ne suffit pas.</w:t>
      </w:r>
    </w:p>
    <w:p>
      <w:pPr>
        <w:spacing w:after="160" w:line="360"/>
        <w:jc w:val="both"/>
      </w:pPr>
      <w:r>
        <w:rPr>
          <w:rFonts w:ascii="Times New Roman" w:cs="Times New Roman" w:eastAsia="Times New Roman" w:hAnsi="Times New Roman"/>
          <w:sz w:val="24"/>
          <w:szCs w:val="24"/>
        </w:rPr>
        <w:t xml:space="preserve">Le troisième enseignement est une lacune. Les travaux existants raisonnent le plus souvent au niveau du ménage et sur des indicateurs monétaires. Aucune étude recensée ne combine, en Afrique de l'Ouest, une mesure multidimensionnelle de la pauvreté infantile et une identification sur données de suivi. C'est précisément l'espace que ce mémoire occupe.</w:t>
      </w:r>
    </w:p>
    <w:p>
      <w:pPr>
        <w:pStyle w:val="Heading1"/>
        <w:spacing w:after="200" w:before="400"/>
      </w:pPr>
      <w:r>
        <w:rPr>
          <w:rFonts w:ascii="Times New Roman" w:cs="Times New Roman" w:eastAsia="Times New Roman" w:hAnsi="Times New Roman"/>
          <w:b/>
          <w:bCs/>
          <w:color w:val="0E6E96"/>
          <w:sz w:val="30"/>
          <w:szCs w:val="30"/>
        </w:rPr>
        <w:t xml:space="preserve">Troisième temps · Cadre méthodologique</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8</w:t>
      </w:r>
      <w:r>
        <w:rPr>
          <w:rFonts w:ascii="Times New Roman" w:cs="Times New Roman" w:eastAsia="Times New Roman" w:hAnsi="Times New Roman"/>
          <w:color w:val="6E747E"/>
          <w:sz w:val="20"/>
          <w:szCs w:val="20"/>
        </w:rPr>
        <w:t xml:space="preserve">  ·  Données EHCVM I et II</w:t>
      </w:r>
      <w:r>
        <w:rPr>
          <w:rFonts w:ascii="Times New Roman" w:cs="Times New Roman" w:eastAsia="Times New Roman" w:hAnsi="Times New Roman"/>
          <w:color w:val="6E747E"/>
          <w:sz w:val="20"/>
          <w:szCs w:val="20"/>
        </w:rPr>
        <w:t xml:space="preserve">	1 min 30</w:t>
      </w:r>
    </w:p>
    <w:p>
      <w:pPr>
        <w:spacing w:after="200" w:before="60"/>
      </w:pPr>
      <w:r>
        <w:rPr>
          <w:rFonts w:ascii="Times New Roman" w:cs="Times New Roman" w:eastAsia="Times New Roman" w:hAnsi="Times New Roman"/>
          <w:b/>
          <w:bCs/>
          <w:color w:val="0E6E96"/>
          <w:sz w:val="30"/>
          <w:szCs w:val="30"/>
        </w:rPr>
        <w:t xml:space="preserve">J'en viens aux données.</w:t>
      </w:r>
    </w:p>
    <w:p>
      <w:pPr>
        <w:spacing w:after="160" w:line="360"/>
        <w:jc w:val="both"/>
      </w:pPr>
      <w:r>
        <w:rPr>
          <w:rFonts w:ascii="Times New Roman" w:cs="Times New Roman" w:eastAsia="Times New Roman" w:hAnsi="Times New Roman"/>
          <w:sz w:val="24"/>
          <w:szCs w:val="24"/>
        </w:rPr>
        <w:t xml:space="preserve">Le travail repose sur les deux vagues de l'Enquête harmonisée sur les conditions de vie des ménages : la première de 2018-2019, la seconde de 2021-2022. Leur appariement permet de suivre 6 127 ménages d'une vague à l'autre.</w:t>
      </w:r>
    </w:p>
    <w:p>
      <w:pPr>
        <w:spacing w:after="160" w:line="360"/>
        <w:jc w:val="both"/>
      </w:pPr>
      <w:r>
        <w:rPr>
          <w:rFonts w:ascii="Times New Roman" w:cs="Times New Roman" w:eastAsia="Times New Roman" w:hAnsi="Times New Roman"/>
          <w:sz w:val="24"/>
          <w:szCs w:val="24"/>
        </w:rPr>
        <w:t xml:space="preserve">L'unité d'analyse n'est pas le ménage mais l'enfant. Grâce à l'identifiant préchargé du questionnaire de 2021, 17 786 enfants de 0 à 17 ans sont suivis individuellement : 2 638 vivaient en 2018 dans un ménage bénéficiaire, 15 148 dans un ménage non bénéficiaire. Le score de propension et l'appariement sont estimés à ce niveau.</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9</w:t>
      </w:r>
      <w:r>
        <w:rPr>
          <w:rFonts w:ascii="Times New Roman" w:cs="Times New Roman" w:eastAsia="Times New Roman" w:hAnsi="Times New Roman"/>
          <w:color w:val="6E747E"/>
          <w:sz w:val="20"/>
          <w:szCs w:val="20"/>
        </w:rPr>
        <w:t xml:space="preserve">  ·  MODA en 7 dimensions</w:t>
      </w:r>
      <w:r>
        <w:rPr>
          <w:rFonts w:ascii="Times New Roman" w:cs="Times New Roman" w:eastAsia="Times New Roman" w:hAnsi="Times New Roman"/>
          <w:color w:val="6E747E"/>
          <w:sz w:val="20"/>
          <w:szCs w:val="20"/>
        </w:rPr>
        <w:t xml:space="preserve">	1 min 30</w:t>
      </w:r>
    </w:p>
    <w:p>
      <w:pPr>
        <w:spacing w:after="200" w:before="60"/>
      </w:pPr>
      <w:r>
        <w:rPr>
          <w:rFonts w:ascii="Times New Roman" w:cs="Times New Roman" w:eastAsia="Times New Roman" w:hAnsi="Times New Roman"/>
          <w:b/>
          <w:bCs/>
          <w:color w:val="0E6E96"/>
          <w:sz w:val="30"/>
          <w:szCs w:val="30"/>
        </w:rPr>
        <w:t xml:space="preserve">Comment mesure-t-on cette pauvreté ?</w:t>
      </w:r>
    </w:p>
    <w:p>
      <w:pPr>
        <w:spacing w:after="160" w:line="360"/>
        <w:jc w:val="both"/>
      </w:pPr>
      <w:r>
        <w:rPr>
          <w:rFonts w:ascii="Times New Roman" w:cs="Times New Roman" w:eastAsia="Times New Roman" w:hAnsi="Times New Roman"/>
          <w:sz w:val="24"/>
          <w:szCs w:val="24"/>
        </w:rPr>
        <w:t xml:space="preserve">La pauvreté est mesurée par l'approche MODA, développée par l'UNICEF et reprise par l'ANSD. Sept dimensions du bien-être de l'enfant sont retenues : l'assainissement, l'eau, le logement, la nutrition, la santé, la protection et l'éducation. Elles se déclinent en quatorze indicateurs, appliqués selon trois groupes d'âge : les 0 à 4 ans, les 5 à 14 ans et les 15 à 17 ans.</w:t>
      </w:r>
    </w:p>
    <w:p>
      <w:pPr>
        <w:spacing w:after="160" w:line="360"/>
        <w:jc w:val="both"/>
      </w:pPr>
      <w:r>
        <w:rPr>
          <w:rFonts w:ascii="Times New Roman" w:cs="Times New Roman" w:eastAsia="Times New Roman" w:hAnsi="Times New Roman"/>
          <w:sz w:val="24"/>
          <w:szCs w:val="24"/>
        </w:rPr>
        <w:t xml:space="preserve">Deux seuils interviennent. À l'intérieur d'une dimension, l'enfant est considéré comme privé dès qu'il l'est dans au moins un indicateur. Entre dimensions, il est déclaré pauvre dès qu'il cumule au moins quatre privations sur sept. La matrice complète des indicateurs et de leurs seuils figure en annexe, et je peux y revenir si vous le souhaitez.</w:t>
      </w:r>
    </w:p>
    <w:p>
      <w:pPr>
        <w:spacing w:after="160"/>
        <w:ind w:left="340"/>
      </w:pPr>
      <w:r>
        <w:rPr>
          <w:rFonts w:ascii="Times New Roman" w:cs="Times New Roman" w:eastAsia="Times New Roman" w:hAnsi="Times New Roman"/>
          <w:i/>
          <w:iCs/>
          <w:color w:val="6E747E"/>
          <w:sz w:val="22"/>
          <w:szCs w:val="22"/>
        </w:rPr>
        <w:t xml:space="preserve">Signaler du geste le bouton de renvoi vers l'annexe.</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10</w:t>
      </w:r>
      <w:r>
        <w:rPr>
          <w:rFonts w:ascii="Times New Roman" w:cs="Times New Roman" w:eastAsia="Times New Roman" w:hAnsi="Times New Roman"/>
          <w:color w:val="6E747E"/>
          <w:sz w:val="20"/>
          <w:szCs w:val="20"/>
        </w:rPr>
        <w:t xml:space="preserve">  ·  Le problème d'identification</w:t>
      </w:r>
      <w:r>
        <w:rPr>
          <w:rFonts w:ascii="Times New Roman" w:cs="Times New Roman" w:eastAsia="Times New Roman" w:hAnsi="Times New Roman"/>
          <w:color w:val="6E747E"/>
          <w:sz w:val="20"/>
          <w:szCs w:val="20"/>
        </w:rPr>
        <w:t xml:space="preserve">	1 min 30</w:t>
      </w:r>
    </w:p>
    <w:p>
      <w:pPr>
        <w:spacing w:after="200" w:before="60"/>
      </w:pPr>
      <w:r>
        <w:rPr>
          <w:rFonts w:ascii="Times New Roman" w:cs="Times New Roman" w:eastAsia="Times New Roman" w:hAnsi="Times New Roman"/>
          <w:b/>
          <w:bCs/>
          <w:color w:val="0E6E96"/>
          <w:sz w:val="30"/>
          <w:szCs w:val="30"/>
        </w:rPr>
        <w:t xml:space="preserve">J'en viens au cœur méthodologique du travail.</w:t>
      </w:r>
    </w:p>
    <w:p>
      <w:pPr>
        <w:spacing w:after="160" w:line="360"/>
        <w:jc w:val="both"/>
      </w:pPr>
      <w:r>
        <w:rPr>
          <w:rFonts w:ascii="Times New Roman" w:cs="Times New Roman" w:eastAsia="Times New Roman" w:hAnsi="Times New Roman"/>
          <w:sz w:val="24"/>
          <w:szCs w:val="24"/>
        </w:rPr>
        <w:t xml:space="preserve">J'en viens à la stratégie d'identification, qui est le cœur méthodologique du travail.</w:t>
      </w:r>
    </w:p>
    <w:p>
      <w:pPr>
        <w:spacing w:after="160" w:line="360"/>
        <w:jc w:val="both"/>
      </w:pPr>
      <w:r>
        <w:rPr>
          <w:rFonts w:ascii="Times New Roman" w:cs="Times New Roman" w:eastAsia="Times New Roman" w:hAnsi="Times New Roman"/>
          <w:sz w:val="24"/>
          <w:szCs w:val="24"/>
        </w:rPr>
        <w:t xml:space="preserve">Le traitement est défini au niveau du ménage : sont traités les ménages qui reçoivent, en 2018, un transfert d'un expéditeur vivant hors du Sénégal et ayant déjà vécu dans le ménage. Ce statut est figé à la période de base, ce qui garantit qu'il ne dépend pas de l'évolution ultérieure des privations.</w:t>
      </w:r>
    </w:p>
    <w:p>
      <w:pPr>
        <w:spacing w:after="160" w:line="360"/>
        <w:jc w:val="both"/>
      </w:pPr>
      <w:r>
        <w:rPr>
          <w:rFonts w:ascii="Times New Roman" w:cs="Times New Roman" w:eastAsia="Times New Roman" w:hAnsi="Times New Roman"/>
          <w:sz w:val="24"/>
          <w:szCs w:val="24"/>
        </w:rPr>
        <w:t xml:space="preserve">Le paramètre visé est l'effet moyen du traitement sur les traités. Sa difficulté est connue : le contrefactuel, c'est-à-dire ce qu'auraient vécu les enfants bénéficiaires en l'absence de transfert, n'est pas observable. Il faut donc le reconstruire.</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11</w:t>
      </w:r>
      <w:r>
        <w:rPr>
          <w:rFonts w:ascii="Times New Roman" w:cs="Times New Roman" w:eastAsia="Times New Roman" w:hAnsi="Times New Roman"/>
          <w:color w:val="6E747E"/>
          <w:sz w:val="20"/>
          <w:szCs w:val="20"/>
        </w:rPr>
        <w:t xml:space="preserve">  ·  Le score de propension</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Première brique, l'appariement.</w:t>
      </w:r>
    </w:p>
    <w:p>
      <w:pPr>
        <w:spacing w:after="160" w:line="360"/>
        <w:jc w:val="both"/>
      </w:pPr>
      <w:r>
        <w:rPr>
          <w:rFonts w:ascii="Times New Roman" w:cs="Times New Roman" w:eastAsia="Times New Roman" w:hAnsi="Times New Roman"/>
          <w:sz w:val="24"/>
          <w:szCs w:val="24"/>
        </w:rPr>
        <w:t xml:space="preserve">Première brique, l'appariement par score de propension. Un modèle logit estime, pour chaque enfant, la probabilité de vivre dans un ménage bénéficiaire, à partir des caractéristiques du chef de ménage, de la taille du ménage, de la dépense par tête, du milieu et de la région, ainsi que du genre et de l'âge de l'enfant. Chaque enfant traité est ensuite apparié à ses quatre plus proches voisins, sur le support commun. Cette étape corrige la sélection sur les caractéristiques observables, mais elle laisse subsister tout ce qui ne s'observe pas.</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12</w:t>
      </w:r>
      <w:r>
        <w:rPr>
          <w:rFonts w:ascii="Times New Roman" w:cs="Times New Roman" w:eastAsia="Times New Roman" w:hAnsi="Times New Roman"/>
          <w:color w:val="6E747E"/>
          <w:sz w:val="20"/>
          <w:szCs w:val="20"/>
        </w:rPr>
        <w:t xml:space="preserve">  ·  La double différence</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Seconde brique, la double différence.</w:t>
      </w:r>
    </w:p>
    <w:p>
      <w:pPr>
        <w:spacing w:after="160" w:line="360"/>
        <w:jc w:val="both"/>
      </w:pPr>
      <w:r>
        <w:rPr>
          <w:rFonts w:ascii="Times New Roman" w:cs="Times New Roman" w:eastAsia="Times New Roman" w:hAnsi="Times New Roman"/>
          <w:sz w:val="24"/>
          <w:szCs w:val="24"/>
        </w:rPr>
        <w:t xml:space="preserve">Seconde brique, la double différence. Elle compare l'évolution des bénéficiaires entre 2018 et 2021 à celle des témoins sur la même période. Ce faisant, elle élimine tous les déterminants inobservés qui restent stables dans le temps, par exemple les aptitudes du ménage ou son rapport à la scolarisation. Mais prise seule, elle suppose des groupes comparables au départ, ce qui n'est pas le cas ici.</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13</w:t>
      </w:r>
      <w:r>
        <w:rPr>
          <w:rFonts w:ascii="Times New Roman" w:cs="Times New Roman" w:eastAsia="Times New Roman" w:hAnsi="Times New Roman"/>
          <w:color w:val="6E747E"/>
          <w:sz w:val="20"/>
          <w:szCs w:val="20"/>
        </w:rPr>
        <w:t xml:space="preserve">  ·  L'estimateur retenu</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L'estimateur retenu combine les deux.</w:t>
      </w:r>
    </w:p>
    <w:p>
      <w:pPr>
        <w:spacing w:after="160" w:line="360"/>
        <w:jc w:val="both"/>
      </w:pPr>
      <w:r>
        <w:rPr>
          <w:rFonts w:ascii="Times New Roman" w:cs="Times New Roman" w:eastAsia="Times New Roman" w:hAnsi="Times New Roman"/>
          <w:sz w:val="24"/>
          <w:szCs w:val="24"/>
        </w:rPr>
        <w:t xml:space="preserve">L'estimateur retenu combine les deux, suivant Heckman et ses coauteurs : la double différence est calculée sur les seuls enfants appariés, chaque témoin entrant avec le poids que lui donne l'appariement. Les deux limites se compensent alors : l'appariement rend les groupes comparables sur l'observable, la double différence neutralise l'inobservable stable.</w:t>
      </w:r>
    </w:p>
    <w:p>
      <w:pPr>
        <w:pStyle w:val="Heading1"/>
        <w:spacing w:after="200" w:before="400"/>
      </w:pPr>
      <w:r>
        <w:rPr>
          <w:rFonts w:ascii="Times New Roman" w:cs="Times New Roman" w:eastAsia="Times New Roman" w:hAnsi="Times New Roman"/>
          <w:b/>
          <w:bCs/>
          <w:color w:val="0E6E96"/>
          <w:sz w:val="30"/>
          <w:szCs w:val="30"/>
        </w:rPr>
        <w:t xml:space="preserve">Quatrième temps · Résultats empiriques</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14</w:t>
      </w:r>
      <w:r>
        <w:rPr>
          <w:rFonts w:ascii="Times New Roman" w:cs="Times New Roman" w:eastAsia="Times New Roman" w:hAnsi="Times New Roman"/>
          <w:color w:val="6E747E"/>
          <w:sz w:val="20"/>
          <w:szCs w:val="20"/>
        </w:rPr>
        <w:t xml:space="preserve">  ·  État des lieux</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Avant l'effet des transferts, un état des lieux.</w:t>
      </w:r>
    </w:p>
    <w:p>
      <w:pPr>
        <w:spacing w:after="160" w:line="360"/>
        <w:jc w:val="both"/>
      </w:pPr>
      <w:r>
        <w:rPr>
          <w:rFonts w:ascii="Times New Roman" w:cs="Times New Roman" w:eastAsia="Times New Roman" w:hAnsi="Times New Roman"/>
          <w:sz w:val="24"/>
          <w:szCs w:val="24"/>
        </w:rPr>
        <w:t xml:space="preserve">Avant l'effet des transferts, un état des lieux. L'incidence de la pauvreté multidimensionnelle recule de 63,5 pour cent en 2018 à 57,8 pour cent en 2021. Mais l'intensité, c'est-à-dire le nombre moyen de privations parmi les enfants pauvres, reste quasi stable, à un peu plus de 70 pour cent. Autrement dit, il y a moins d'enfants pauvres, mais ceux qui le restent cumulent toujours près de cinq privations sur sept. La distribution, à droite, montre que le seuil de quatre dimensions se situe au voisinage du mode.</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15</w:t>
      </w:r>
      <w:r>
        <w:rPr>
          <w:rFonts w:ascii="Times New Roman" w:cs="Times New Roman" w:eastAsia="Times New Roman" w:hAnsi="Times New Roman"/>
          <w:color w:val="6E747E"/>
          <w:sz w:val="20"/>
          <w:szCs w:val="20"/>
        </w:rPr>
        <w:t xml:space="preserve">  ·  Ventilation par sous-groupe</w:t>
      </w:r>
      <w:r>
        <w:rPr>
          <w:rFonts w:ascii="Times New Roman" w:cs="Times New Roman" w:eastAsia="Times New Roman" w:hAnsi="Times New Roman"/>
          <w:color w:val="6E747E"/>
          <w:sz w:val="20"/>
          <w:szCs w:val="20"/>
        </w:rPr>
        <w:t xml:space="preserve">	45 s</w:t>
      </w:r>
    </w:p>
    <w:p>
      <w:pPr>
        <w:spacing w:after="200" w:before="60"/>
      </w:pPr>
      <w:r>
        <w:rPr>
          <w:rFonts w:ascii="Times New Roman" w:cs="Times New Roman" w:eastAsia="Times New Roman" w:hAnsi="Times New Roman"/>
          <w:b/>
          <w:bCs/>
          <w:color w:val="0E6E96"/>
          <w:sz w:val="30"/>
          <w:szCs w:val="30"/>
        </w:rPr>
        <w:t xml:space="preserve">Un fait ressort de la ventilation par sous-groupe.</w:t>
      </w:r>
    </w:p>
    <w:p>
      <w:pPr>
        <w:spacing w:after="160" w:line="360"/>
        <w:jc w:val="both"/>
      </w:pPr>
      <w:r>
        <w:rPr>
          <w:rFonts w:ascii="Times New Roman" w:cs="Times New Roman" w:eastAsia="Times New Roman" w:hAnsi="Times New Roman"/>
          <w:sz w:val="24"/>
          <w:szCs w:val="24"/>
        </w:rPr>
        <w:t xml:space="preserve">Par groupe d'âge et par genre du chef de ménage, un fait ressort : les enfants des ménages bénéficiaires partent d'un niveau nettement plus favorable. Chez les 0 à 4 ans, leur avantage passe de 23,7 à 16,9 points entre les deux vagues, tiré par la nutrition. Cet avantage précède le traitement, et c'est exactement ce que l'appariement doit corriger.</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16</w:t>
      </w:r>
      <w:r>
        <w:rPr>
          <w:rFonts w:ascii="Times New Roman" w:cs="Times New Roman" w:eastAsia="Times New Roman" w:hAnsi="Times New Roman"/>
          <w:color w:val="6E747E"/>
          <w:sz w:val="20"/>
          <w:szCs w:val="20"/>
        </w:rPr>
        <w:t xml:space="preserve">  ·  Incidence selon le statut</w:t>
      </w:r>
      <w:r>
        <w:rPr>
          <w:rFonts w:ascii="Times New Roman" w:cs="Times New Roman" w:eastAsia="Times New Roman" w:hAnsi="Times New Roman"/>
          <w:color w:val="6E747E"/>
          <w:sz w:val="20"/>
          <w:szCs w:val="20"/>
        </w:rPr>
        <w:t xml:space="preserve">	30 s</w:t>
      </w:r>
    </w:p>
    <w:p>
      <w:pPr>
        <w:spacing w:after="200" w:before="60"/>
      </w:pPr>
      <w:r>
        <w:rPr>
          <w:rFonts w:ascii="Times New Roman" w:cs="Times New Roman" w:eastAsia="Times New Roman" w:hAnsi="Times New Roman"/>
          <w:b/>
          <w:bCs/>
          <w:color w:val="0E6E96"/>
          <w:sz w:val="30"/>
          <w:szCs w:val="30"/>
        </w:rPr>
        <w:t xml:space="preserve">Voici la même incidence, décomposée par statut.</w:t>
      </w:r>
    </w:p>
    <w:p>
      <w:pPr>
        <w:spacing w:after="160" w:line="360"/>
        <w:jc w:val="both"/>
      </w:pPr>
      <w:r>
        <w:rPr>
          <w:rFonts w:ascii="Times New Roman" w:cs="Times New Roman" w:eastAsia="Times New Roman" w:hAnsi="Times New Roman"/>
          <w:sz w:val="24"/>
          <w:szCs w:val="24"/>
        </w:rPr>
        <w:t xml:space="preserve">La courbe décompose l'incidence d'ensemble selon le statut du ménage. Les deux groupes reculent, mais l'écart de départ est manifeste et il ne se referme pas.</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17</w:t>
      </w:r>
      <w:r>
        <w:rPr>
          <w:rFonts w:ascii="Times New Roman" w:cs="Times New Roman" w:eastAsia="Times New Roman" w:hAnsi="Times New Roman"/>
          <w:color w:val="6E747E"/>
          <w:sz w:val="20"/>
          <w:szCs w:val="20"/>
        </w:rPr>
        <w:t xml:space="preserve">  ·  Qualité de l'appariement</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Un mot sur la qualité de l'appariement, dont tout dépend.</w:t>
      </w:r>
    </w:p>
    <w:p>
      <w:pPr>
        <w:spacing w:after="160" w:line="360"/>
        <w:jc w:val="both"/>
      </w:pPr>
      <w:r>
        <w:rPr>
          <w:rFonts w:ascii="Times New Roman" w:cs="Times New Roman" w:eastAsia="Times New Roman" w:hAnsi="Times New Roman"/>
          <w:sz w:val="24"/>
          <w:szCs w:val="24"/>
        </w:rPr>
        <w:t xml:space="preserve">Avant de commenter l'effet, un mot sur la qualité de l'appariement, dont dépend la crédibilité de tout ce qui suit. Le logit est estimé sur 17 735 enfants. La différence standardisée moyenne entre traités et témoins passe de 11,4 pour cent avant appariement à 2,4 pour cent après, très en deçà du seuil usuel de 10 pour cent, et le test joint de nullité des covariables n'est plus rejeté. L'échantillon apparié compte 16 210 observations-enfants sur le support commun.</w:t>
      </w:r>
    </w:p>
    <w:p>
      <w:pPr>
        <w:spacing w:after="160"/>
        <w:ind w:left="340"/>
      </w:pPr>
      <w:r>
        <w:rPr>
          <w:rFonts w:ascii="Times New Roman" w:cs="Times New Roman" w:eastAsia="Times New Roman" w:hAnsi="Times New Roman"/>
          <w:i/>
          <w:iCs/>
          <w:color w:val="6E747E"/>
          <w:sz w:val="22"/>
          <w:szCs w:val="22"/>
        </w:rPr>
        <w:t xml:space="preserve">Ne pas s'attarder : le jury retient surtout que l'équilibre est atteint.</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18</w:t>
      </w:r>
      <w:r>
        <w:rPr>
          <w:rFonts w:ascii="Times New Roman" w:cs="Times New Roman" w:eastAsia="Times New Roman" w:hAnsi="Times New Roman"/>
          <w:color w:val="6E747E"/>
          <w:sz w:val="20"/>
          <w:szCs w:val="20"/>
        </w:rPr>
        <w:t xml:space="preserve">  ·  Le résultat central</w:t>
      </w:r>
      <w:r>
        <w:rPr>
          <w:rFonts w:ascii="Times New Roman" w:cs="Times New Roman" w:eastAsia="Times New Roman" w:hAnsi="Times New Roman"/>
          <w:color w:val="6E747E"/>
          <w:sz w:val="20"/>
          <w:szCs w:val="20"/>
        </w:rPr>
        <w:t xml:space="preserve">	2 min</w:t>
      </w:r>
    </w:p>
    <w:p>
      <w:pPr>
        <w:spacing w:after="200" w:before="60"/>
      </w:pPr>
      <w:r>
        <w:rPr>
          <w:rFonts w:ascii="Times New Roman" w:cs="Times New Roman" w:eastAsia="Times New Roman" w:hAnsi="Times New Roman"/>
          <w:b/>
          <w:bCs/>
          <w:color w:val="0E6E96"/>
          <w:sz w:val="30"/>
          <w:szCs w:val="30"/>
        </w:rPr>
        <w:t xml:space="preserve">J'en viens au résultat central, et je vais l'énoncer sans détour.</w:t>
      </w:r>
    </w:p>
    <w:p>
      <w:pPr>
        <w:spacing w:after="160" w:line="360"/>
        <w:jc w:val="both"/>
      </w:pPr>
      <w:r>
        <w:rPr>
          <w:rFonts w:ascii="Times New Roman" w:cs="Times New Roman" w:eastAsia="Times New Roman" w:hAnsi="Times New Roman"/>
          <w:sz w:val="24"/>
          <w:szCs w:val="24"/>
        </w:rPr>
        <w:t xml:space="preserve">J'en viens au résultat central, et je vais l'énoncer sans détour.</w:t>
      </w:r>
    </w:p>
    <w:p>
      <w:pPr>
        <w:spacing w:after="160" w:line="360"/>
        <w:jc w:val="both"/>
      </w:pPr>
      <w:r>
        <w:rPr>
          <w:rFonts w:ascii="Times New Roman" w:cs="Times New Roman" w:eastAsia="Times New Roman" w:hAnsi="Times New Roman"/>
          <w:sz w:val="24"/>
          <w:szCs w:val="24"/>
        </w:rPr>
        <w:t xml:space="preserve">Sur la période 2018-2021, la pauvreté multidimensionnelle des enfants des ménages bénéficiaires recule plus lentement que celle des témoins appariés. L'écart est de 6,4 points de pourcentage, significatif au seuil de 5 pour cent. Le résultat ne tient pas au choix de l'algorithme : les trois appariements concordent, de 0,050 à 0,064. La double différence sans appariement, qui ne corrige pas l'avantage initial, donne le même signe atténué, à 0,035.</w:t>
      </w:r>
    </w:p>
    <w:p>
      <w:pPr>
        <w:spacing w:after="160" w:line="360"/>
        <w:jc w:val="both"/>
      </w:pPr>
      <w:r>
        <w:rPr>
          <w:rFonts w:ascii="Times New Roman" w:cs="Times New Roman" w:eastAsia="Times New Roman" w:hAnsi="Times New Roman"/>
          <w:sz w:val="24"/>
          <w:szCs w:val="24"/>
        </w:rPr>
        <w:t xml:space="preserve">La première hypothèse n'est donc pas validée. Je précise immédiatement le sens de ce résultat, car il se prête à un contresens : il ne dit pas que les transferts appauvrissent les enfants. Il dit que, sur cet horizon de trois ans, les conditions de vie des enfants bénéficiaires se sont améliorées plus lentement que celles de leurs témoins.</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19</w:t>
      </w:r>
      <w:r>
        <w:rPr>
          <w:rFonts w:ascii="Times New Roman" w:cs="Times New Roman" w:eastAsia="Times New Roman" w:hAnsi="Times New Roman"/>
          <w:color w:val="6E747E"/>
          <w:sz w:val="20"/>
          <w:szCs w:val="20"/>
        </w:rPr>
        <w:t xml:space="preserve">  ·  Effets par dimension</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Cet effet n'est pas diffus : il se localise.</w:t>
      </w:r>
    </w:p>
    <w:p>
      <w:pPr>
        <w:spacing w:after="160" w:line="360"/>
        <w:jc w:val="both"/>
      </w:pPr>
      <w:r>
        <w:rPr>
          <w:rFonts w:ascii="Times New Roman" w:cs="Times New Roman" w:eastAsia="Times New Roman" w:hAnsi="Times New Roman"/>
          <w:sz w:val="24"/>
          <w:szCs w:val="24"/>
        </w:rPr>
        <w:t xml:space="preserve">L'effet n'est pas diffus, il se localise. Sur les sept dimensions, une seule ressort : la nutrition, avec 6,8 points, significative à 10 pour cent, et c'est précisément la dimension qui dépend le plus directement du budget courant du ménage. L'assainissement va dans le même sens, à 4,6 points, sans atteindre la significativité. Les cinq autres dimensions restent comprises entre 0,5 et 2,4 points, toutes non significatives.</w:t>
      </w:r>
    </w:p>
    <w:p>
      <w:pPr>
        <w:spacing w:after="160" w:line="360"/>
        <w:jc w:val="both"/>
      </w:pPr>
      <w:r>
        <w:rPr>
          <w:rFonts w:ascii="Times New Roman" w:cs="Times New Roman" w:eastAsia="Times New Roman" w:hAnsi="Times New Roman"/>
          <w:sz w:val="24"/>
          <w:szCs w:val="24"/>
        </w:rPr>
        <w:t xml:space="preserve">Par groupe d'âge, l'effet n'est établi que chez les 0 à 4 ans, à 9,1 points, significatif à 5 pour cent. Effet par âge et effet par dimension se répondent : les besoins des plus jeunes passent d'abord par l'alimentation. En revanche, aucun test d'égalité ne conclut, ni entre milieux, ni selon le genre du chef, ni entre tranches d'âge : les sous-groupes se distinguent par la significativité de leur effet, non par une ampleur supérieure.</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20</w:t>
      </w:r>
      <w:r>
        <w:rPr>
          <w:rFonts w:ascii="Times New Roman" w:cs="Times New Roman" w:eastAsia="Times New Roman" w:hAnsi="Times New Roman"/>
          <w:color w:val="6E747E"/>
          <w:sz w:val="20"/>
          <w:szCs w:val="20"/>
        </w:rPr>
        <w:t xml:space="preserve">  ·  Effet selon le montant</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Dernier volet, l'intensité du traitement.</w:t>
      </w:r>
    </w:p>
    <w:p>
      <w:pPr>
        <w:spacing w:after="160" w:line="360"/>
        <w:jc w:val="both"/>
      </w:pPr>
      <w:r>
        <w:rPr>
          <w:rFonts w:ascii="Times New Roman" w:cs="Times New Roman" w:eastAsia="Times New Roman" w:hAnsi="Times New Roman"/>
          <w:sz w:val="24"/>
          <w:szCs w:val="24"/>
        </w:rPr>
        <w:t xml:space="preserve">Dernier volet, l'intensité du traitement. L'écart défavorable se concentre sur les plus faibles montants : seuls les deux premiers quintiles sont significatifs, à 12,9 et 9,9 points. Il ne se retrouve pas pour les transferts les plus élevés, le dernier quintile étant même très légèrement négatif. La pente dose-réponse, estimée sur le logarithme du montant, vaut moins 0,025 et est significative à 10 pour cent : plus le montant reçu est élevé, plus l'écart tend à se réduire.</w:t>
      </w:r>
    </w:p>
    <w:p>
      <w:pPr>
        <w:spacing w:after="160" w:line="360"/>
        <w:jc w:val="both"/>
      </w:pPr>
      <w:r>
        <w:rPr>
          <w:rFonts w:ascii="Times New Roman" w:cs="Times New Roman" w:eastAsia="Times New Roman" w:hAnsi="Times New Roman"/>
          <w:sz w:val="24"/>
          <w:szCs w:val="24"/>
        </w:rPr>
        <w:t xml:space="preserve">Je dois toutefois nuancer : le profil n'est pas strictement monotone, le quatrième quintile remontant sans être significatif. Et le montant relevant du choix du migrant, ce gradient se lit comme une association conditionnelle, non comme un effet causal du montant.</w:t>
      </w:r>
    </w:p>
    <w:p>
      <w:pPr>
        <w:pStyle w:val="Heading1"/>
        <w:spacing w:after="200" w:before="400"/>
      </w:pPr>
      <w:r>
        <w:rPr>
          <w:rFonts w:ascii="Times New Roman" w:cs="Times New Roman" w:eastAsia="Times New Roman" w:hAnsi="Times New Roman"/>
          <w:b/>
          <w:bCs/>
          <w:color w:val="0E6E96"/>
          <w:sz w:val="30"/>
          <w:szCs w:val="30"/>
        </w:rPr>
        <w:t xml:space="preserve">Cinquième temps · Robustesse et discussion</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21</w:t>
      </w:r>
      <w:r>
        <w:rPr>
          <w:rFonts w:ascii="Times New Roman" w:cs="Times New Roman" w:eastAsia="Times New Roman" w:hAnsi="Times New Roman"/>
          <w:color w:val="6E747E"/>
          <w:sz w:val="20"/>
          <w:szCs w:val="20"/>
        </w:rPr>
        <w:t xml:space="preserve">  ·  Tests de robustesse</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Ce résultat a été mis à l'épreuve de trois façons.</w:t>
      </w:r>
    </w:p>
    <w:p>
      <w:pPr>
        <w:spacing w:after="160" w:line="360"/>
        <w:jc w:val="both"/>
      </w:pPr>
      <w:r>
        <w:rPr>
          <w:rFonts w:ascii="Times New Roman" w:cs="Times New Roman" w:eastAsia="Times New Roman" w:hAnsi="Times New Roman"/>
          <w:sz w:val="24"/>
          <w:szCs w:val="24"/>
        </w:rPr>
        <w:t xml:space="preserve">Le résultat a été mis à l'épreuve de trois façons. Le choix de la méthode d'appariement, d'abord : les trois algorithmes donnent un effet de 0,050 à 0,064, tous significatifs au moins à 10 pour cent. Le seuil de privation ensuite : testé de une à sept dimensions, l'ampleur suit une courbe en cloche, maximale au seuil retenu et significative seulement pour deux, trois et quatre dimensions. Cela nous apprend quelque chose : l'effet se joue au milieu de la distribution des privations, pas dans son noyau. Enfin, une implémentation indépendante du même estimateur retrouve le résultat.</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22</w:t>
      </w:r>
      <w:r>
        <w:rPr>
          <w:rFonts w:ascii="Times New Roman" w:cs="Times New Roman" w:eastAsia="Times New Roman" w:hAnsi="Times New Roman"/>
          <w:color w:val="6E747E"/>
          <w:sz w:val="20"/>
          <w:szCs w:val="20"/>
        </w:rPr>
        <w:t xml:space="preserve">  ·  Sensibilité à la définition du traitement</w:t>
      </w:r>
      <w:r>
        <w:rPr>
          <w:rFonts w:ascii="Times New Roman" w:cs="Times New Roman" w:eastAsia="Times New Roman" w:hAnsi="Times New Roman"/>
          <w:color w:val="6E747E"/>
          <w:sz w:val="20"/>
          <w:szCs w:val="20"/>
        </w:rPr>
        <w:t xml:space="preserve">	45 s</w:t>
      </w:r>
    </w:p>
    <w:p>
      <w:pPr>
        <w:spacing w:after="200" w:before="60"/>
      </w:pPr>
      <w:r>
        <w:rPr>
          <w:rFonts w:ascii="Times New Roman" w:cs="Times New Roman" w:eastAsia="Times New Roman" w:hAnsi="Times New Roman"/>
          <w:b/>
          <w:bCs/>
          <w:color w:val="0E6E96"/>
          <w:sz w:val="30"/>
          <w:szCs w:val="30"/>
        </w:rPr>
        <w:t xml:space="preserve">Un test mérite d'être signalé, car il nuance la portée du résultat.</w:t>
      </w:r>
    </w:p>
    <w:p>
      <w:pPr>
        <w:spacing w:after="160" w:line="360"/>
        <w:jc w:val="both"/>
      </w:pPr>
      <w:r>
        <w:rPr>
          <w:rFonts w:ascii="Times New Roman" w:cs="Times New Roman" w:eastAsia="Times New Roman" w:hAnsi="Times New Roman"/>
          <w:sz w:val="24"/>
          <w:szCs w:val="24"/>
        </w:rPr>
        <w:t xml:space="preserve">Un test mérite d'être signalé, car il nuance la portée du résultat. Si l'on restreint les traités aux bénéficiaires des deux vagues, l'effet tombe à 0,022 en double différence et à moins 0,008 avec appariement, tous deux non significatifs. L'exposition de ces ménages, déjà en cours en 2018, relève d'une autre question que celle du design principal. Autrement dit : le signe et l'ordre de grandeur résistent à l'algorithme comme au seuil, mais la définition du traitement les fait disparaître.</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23</w:t>
      </w:r>
      <w:r>
        <w:rPr>
          <w:rFonts w:ascii="Times New Roman" w:cs="Times New Roman" w:eastAsia="Times New Roman" w:hAnsi="Times New Roman"/>
          <w:color w:val="6E747E"/>
          <w:sz w:val="20"/>
          <w:szCs w:val="20"/>
        </w:rPr>
        <w:t xml:space="preserve">  ·  Mécanismes d'interprétation</w:t>
      </w:r>
      <w:r>
        <w:rPr>
          <w:rFonts w:ascii="Times New Roman" w:cs="Times New Roman" w:eastAsia="Times New Roman" w:hAnsi="Times New Roman"/>
          <w:color w:val="6E747E"/>
          <w:sz w:val="20"/>
          <w:szCs w:val="20"/>
        </w:rPr>
        <w:t xml:space="preserve">	1 min 30</w:t>
      </w:r>
    </w:p>
    <w:p>
      <w:pPr>
        <w:spacing w:after="200" w:before="60"/>
      </w:pPr>
      <w:r>
        <w:rPr>
          <w:rFonts w:ascii="Times New Roman" w:cs="Times New Roman" w:eastAsia="Times New Roman" w:hAnsi="Times New Roman"/>
          <w:b/>
          <w:bCs/>
          <w:color w:val="0E6E96"/>
          <w:sz w:val="30"/>
          <w:szCs w:val="30"/>
        </w:rPr>
        <w:t xml:space="preserve">Comment expliquer qu'une ressource de cette ampleur ne réduise pas les privations ?</w:t>
      </w:r>
    </w:p>
    <w:p>
      <w:pPr>
        <w:spacing w:after="160" w:line="360"/>
        <w:jc w:val="both"/>
      </w:pPr>
      <w:r>
        <w:rPr>
          <w:rFonts w:ascii="Times New Roman" w:cs="Times New Roman" w:eastAsia="Times New Roman" w:hAnsi="Times New Roman"/>
          <w:sz w:val="24"/>
          <w:szCs w:val="24"/>
        </w:rPr>
        <w:t xml:space="preserve">Comment expliquer qu'une ressource de cette ampleur ne réduise pas les privations ? Trois mécanismes me paraissent devoir être avancés.</w:t>
      </w:r>
    </w:p>
    <w:p>
      <w:pPr>
        <w:spacing w:after="160" w:line="360"/>
        <w:jc w:val="both"/>
      </w:pPr>
      <w:r>
        <w:rPr>
          <w:rFonts w:ascii="Times New Roman" w:cs="Times New Roman" w:eastAsia="Times New Roman" w:hAnsi="Times New Roman"/>
          <w:sz w:val="24"/>
          <w:szCs w:val="24"/>
        </w:rPr>
        <w:t xml:space="preserve">L'usage des fonds, d'abord. 68,5 pour cent des transferts relèvent du soutien courant et moins d'un dixième va explicitement à la santé ou à la scolarité. Un flux qui finance l'ordinaire du ménage a peu de raisons de déplacer les seuils de privation retenus par l'indice.</w:t>
      </w:r>
    </w:p>
    <w:p>
      <w:pPr>
        <w:spacing w:after="160" w:line="360"/>
        <w:jc w:val="both"/>
      </w:pPr>
      <w:r>
        <w:rPr>
          <w:rFonts w:ascii="Times New Roman" w:cs="Times New Roman" w:eastAsia="Times New Roman" w:hAnsi="Times New Roman"/>
          <w:sz w:val="24"/>
          <w:szCs w:val="24"/>
        </w:rPr>
        <w:t xml:space="preserve">La contrainte d'offre, ensuite. L'eau, l'assainissement et l'accès aux soins supposent des investissements collectifs que le pouvoir d'achat privé ne remplace pas. Le fait que la privation en santé touche 97 pour cent des enfants aux deux vagues, quasiment sans écart entre bénéficiaires et témoins en 2021, en est l'illustration la plus nette.</w:t>
      </w:r>
    </w:p>
    <w:p>
      <w:pPr>
        <w:spacing w:after="160" w:line="360"/>
        <w:jc w:val="both"/>
      </w:pPr>
      <w:r>
        <w:rPr>
          <w:rFonts w:ascii="Times New Roman" w:cs="Times New Roman" w:eastAsia="Times New Roman" w:hAnsi="Times New Roman"/>
          <w:sz w:val="24"/>
          <w:szCs w:val="24"/>
        </w:rPr>
        <w:t xml:space="preserve">La marge sur laquelle l'effet opère, enfin. La sensibilité au seuil montre que l'écart se joue chez les enfants situés au milieu de la distribution. Le noyau des enfants cumulant six ou sept privations relève de déficits structurels qu'aucun flux monétaire privé ne déplace en trois ans.</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24</w:t>
      </w:r>
      <w:r>
        <w:rPr>
          <w:rFonts w:ascii="Times New Roman" w:cs="Times New Roman" w:eastAsia="Times New Roman" w:hAnsi="Times New Roman"/>
          <w:color w:val="6E747E"/>
          <w:sz w:val="20"/>
          <w:szCs w:val="20"/>
        </w:rPr>
        <w:t xml:space="preserve">  ·  Validation des hypothèses</w:t>
      </w:r>
      <w:r>
        <w:rPr>
          <w:rFonts w:ascii="Times New Roman" w:cs="Times New Roman" w:eastAsia="Times New Roman" w:hAnsi="Times New Roman"/>
          <w:color w:val="6E747E"/>
          <w:sz w:val="20"/>
          <w:szCs w:val="20"/>
        </w:rPr>
        <w:t xml:space="preserve">	30 s</w:t>
      </w:r>
    </w:p>
    <w:p>
      <w:pPr>
        <w:spacing w:after="200" w:before="60"/>
      </w:pPr>
      <w:r>
        <w:rPr>
          <w:rFonts w:ascii="Times New Roman" w:cs="Times New Roman" w:eastAsia="Times New Roman" w:hAnsi="Times New Roman"/>
          <w:b/>
          <w:bCs/>
          <w:color w:val="0E6E96"/>
          <w:sz w:val="30"/>
          <w:szCs w:val="30"/>
        </w:rPr>
        <w:t xml:space="preserve">Que deviennent alors mes deux hypothèses ?</w:t>
      </w:r>
    </w:p>
    <w:p>
      <w:pPr>
        <w:spacing w:after="160" w:line="360"/>
        <w:jc w:val="both"/>
      </w:pPr>
      <w:r>
        <w:rPr>
          <w:rFonts w:ascii="Times New Roman" w:cs="Times New Roman" w:eastAsia="Times New Roman" w:hAnsi="Times New Roman"/>
          <w:sz w:val="24"/>
          <w:szCs w:val="24"/>
        </w:rPr>
        <w:t xml:space="preserve">Au terme de ce parcours, la première hypothèse n'est pas validée : l'effet est de signe défavorable et aucune réduction n'est observée sur l'horizon. La seconde est partiellement validée : l'effet est bien hétérogène selon les dimensions et selon le montant, mais aucun test d'égalité ne conclut par milieu, genre du chef ou tranche d'âge.</w:t>
      </w:r>
    </w:p>
    <w:p>
      <w:pPr>
        <w:pStyle w:val="Heading1"/>
        <w:spacing w:after="200" w:before="400"/>
      </w:pPr>
      <w:r>
        <w:rPr>
          <w:rFonts w:ascii="Times New Roman" w:cs="Times New Roman" w:eastAsia="Times New Roman" w:hAnsi="Times New Roman"/>
          <w:b/>
          <w:bCs/>
          <w:color w:val="0E6E96"/>
          <w:sz w:val="30"/>
          <w:szCs w:val="30"/>
        </w:rPr>
        <w:t xml:space="preserve">Sixième temps · Conclusion et recommandations</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25</w:t>
      </w:r>
      <w:r>
        <w:rPr>
          <w:rFonts w:ascii="Times New Roman" w:cs="Times New Roman" w:eastAsia="Times New Roman" w:hAnsi="Times New Roman"/>
          <w:color w:val="6E747E"/>
          <w:sz w:val="20"/>
          <w:szCs w:val="20"/>
        </w:rPr>
        <w:t xml:space="preserve">  ·  Conclusion générale</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Quatre apports se dégagent de ce travail.</w:t>
      </w:r>
    </w:p>
    <w:p>
      <w:pPr>
        <w:spacing w:after="160" w:line="360"/>
        <w:jc w:val="both"/>
      </w:pPr>
      <w:r>
        <w:rPr>
          <w:rFonts w:ascii="Times New Roman" w:cs="Times New Roman" w:eastAsia="Times New Roman" w:hAnsi="Times New Roman"/>
          <w:sz w:val="24"/>
          <w:szCs w:val="24"/>
        </w:rPr>
        <w:t xml:space="preserve">Quatre apports se dégagent. Une mesure de la pauvreté multidimensionnelle des enfants sur deux vagues de l'EHCVM, selon l'approche MODA. Le constat d'un recul réel de l'incidence, de 63,5 à 57,8 pour cent, sur fond d'une pauvreté qui reste massive. Le résultat central, à savoir que les transferts ne réduisent pas, à trois ans, la pauvreté multidimensionnelle des enfants. Et sa localisation précise : la nutrition, les 0 à 4 ans et les plus faibles montants reçus.</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26</w:t>
      </w:r>
      <w:r>
        <w:rPr>
          <w:rFonts w:ascii="Times New Roman" w:cs="Times New Roman" w:eastAsia="Times New Roman" w:hAnsi="Times New Roman"/>
          <w:color w:val="6E747E"/>
          <w:sz w:val="20"/>
          <w:szCs w:val="20"/>
        </w:rPr>
        <w:t xml:space="preserve">  ·  Recommandations</w:t>
      </w:r>
      <w:r>
        <w:rPr>
          <w:rFonts w:ascii="Times New Roman" w:cs="Times New Roman" w:eastAsia="Times New Roman" w:hAnsi="Times New Roman"/>
          <w:color w:val="6E747E"/>
          <w:sz w:val="20"/>
          <w:szCs w:val="20"/>
        </w:rPr>
        <w:t xml:space="preserve">	1 min 30</w:t>
      </w:r>
    </w:p>
    <w:p>
      <w:pPr>
        <w:spacing w:after="200" w:before="60"/>
      </w:pPr>
      <w:r>
        <w:rPr>
          <w:rFonts w:ascii="Times New Roman" w:cs="Times New Roman" w:eastAsia="Times New Roman" w:hAnsi="Times New Roman"/>
          <w:b/>
          <w:bCs/>
          <w:color w:val="0E6E96"/>
          <w:sz w:val="30"/>
          <w:szCs w:val="30"/>
        </w:rPr>
        <w:t xml:space="preserve">Les recommandations suivent l'ordre de ces faits.</w:t>
      </w:r>
    </w:p>
    <w:p>
      <w:pPr>
        <w:spacing w:after="160" w:line="360"/>
        <w:jc w:val="both"/>
      </w:pPr>
      <w:r>
        <w:rPr>
          <w:rFonts w:ascii="Times New Roman" w:cs="Times New Roman" w:eastAsia="Times New Roman" w:hAnsi="Times New Roman"/>
          <w:sz w:val="24"/>
          <w:szCs w:val="24"/>
        </w:rPr>
        <w:t xml:space="preserve">Les recommandations suivent l'ordre de ces faits.</w:t>
      </w:r>
    </w:p>
    <w:p>
      <w:pPr>
        <w:spacing w:after="160" w:line="360"/>
        <w:jc w:val="both"/>
      </w:pPr>
      <w:r>
        <w:rPr>
          <w:rFonts w:ascii="Times New Roman" w:cs="Times New Roman" w:eastAsia="Times New Roman" w:hAnsi="Times New Roman"/>
          <w:sz w:val="24"/>
          <w:szCs w:val="24"/>
        </w:rPr>
        <w:t xml:space="preserve">Là où l'écart se concentre, d'abord : donner la priorité à la sécurité alimentaire des enfants dans les zones d'émigration, cibler les enfants de 0 à 4 ans des ménages bénéficiaires, et accompagner en priorité les ménages qui reçoivent les plus faibles montants. J'insiste sur un point : recevoir des transferts ne doit pas valoir exclusion des filets sociaux, puisque c'est précisément chez ces ménages que la trajectoire est la moins favorable.</w:t>
      </w:r>
    </w:p>
    <w:p>
      <w:pPr>
        <w:spacing w:after="160" w:line="360"/>
        <w:jc w:val="both"/>
      </w:pPr>
      <w:r>
        <w:rPr>
          <w:rFonts w:ascii="Times New Roman" w:cs="Times New Roman" w:eastAsia="Times New Roman" w:hAnsi="Times New Roman"/>
          <w:sz w:val="24"/>
          <w:szCs w:val="24"/>
        </w:rPr>
        <w:t xml:space="preserve">Sur les conditions de conversion des transferts, ensuite : réduire les coûts de transaction des envois formels, compléter les transferts par l'offre publique de services de base, et renforcer le suivi statistique des transferts. Le message est simple : le transfert privé ne remplace pas l'investissement collectif, il le suppose.</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27</w:t>
      </w:r>
      <w:r>
        <w:rPr>
          <w:rFonts w:ascii="Times New Roman" w:cs="Times New Roman" w:eastAsia="Times New Roman" w:hAnsi="Times New Roman"/>
          <w:color w:val="6E747E"/>
          <w:sz w:val="20"/>
          <w:szCs w:val="20"/>
        </w:rPr>
        <w:t xml:space="preserve">  ·  Limites de l'étude</w:t>
      </w:r>
      <w:r>
        <w:rPr>
          <w:rFonts w:ascii="Times New Roman" w:cs="Times New Roman" w:eastAsia="Times New Roman" w:hAnsi="Times New Roman"/>
          <w:color w:val="6E747E"/>
          <w:sz w:val="20"/>
          <w:szCs w:val="20"/>
        </w:rPr>
        <w:t xml:space="preserve">	1 min</w:t>
      </w:r>
    </w:p>
    <w:p>
      <w:pPr>
        <w:spacing w:after="200" w:before="60"/>
      </w:pPr>
      <w:r>
        <w:rPr>
          <w:rFonts w:ascii="Times New Roman" w:cs="Times New Roman" w:eastAsia="Times New Roman" w:hAnsi="Times New Roman"/>
          <w:b/>
          <w:bCs/>
          <w:color w:val="0E6E96"/>
          <w:sz w:val="30"/>
          <w:szCs w:val="30"/>
        </w:rPr>
        <w:t xml:space="preserve">Ce travail a ses limites, et je préfère les énoncer moi-même.</w:t>
      </w:r>
    </w:p>
    <w:p>
      <w:pPr>
        <w:spacing w:after="160" w:line="360"/>
        <w:jc w:val="both"/>
      </w:pPr>
      <w:r>
        <w:rPr>
          <w:rFonts w:ascii="Times New Roman" w:cs="Times New Roman" w:eastAsia="Times New Roman" w:hAnsi="Times New Roman"/>
          <w:sz w:val="24"/>
          <w:szCs w:val="24"/>
        </w:rPr>
        <w:t xml:space="preserve">Ce travail a ses limites, et je préfère les énoncer moi-même. L'hypothèse de tendances parallèles n'est pas testable directement, deux vagues seulement étant disponibles ; l'appariement sur les niveaux initiaux la rend plus crédible sans la démontrer. Les enfants vieillissent entre les deux enquêtes et sont évalués sur la grille de leur âge courant ; le fait de figer les groupes d'âge à la période de base neutralise l'essentiel de cet effet. Enfin, la nutrition et la santé reposent sur les seuls indicateurs strictement comparables entre les deux vagues, car un indicateur redéfini entre 2018 et 2021 produirait un effet mesuré sans contenu causal.</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28</w:t>
      </w:r>
      <w:r>
        <w:rPr>
          <w:rFonts w:ascii="Times New Roman" w:cs="Times New Roman" w:eastAsia="Times New Roman" w:hAnsi="Times New Roman"/>
          <w:color w:val="6E747E"/>
          <w:sz w:val="20"/>
          <w:szCs w:val="20"/>
        </w:rPr>
        <w:t xml:space="preserve">  ·  Perspectives</w:t>
      </w:r>
      <w:r>
        <w:rPr>
          <w:rFonts w:ascii="Times New Roman" w:cs="Times New Roman" w:eastAsia="Times New Roman" w:hAnsi="Times New Roman"/>
          <w:color w:val="6E747E"/>
          <w:sz w:val="20"/>
          <w:szCs w:val="20"/>
        </w:rPr>
        <w:t xml:space="preserve">	30 s</w:t>
      </w:r>
    </w:p>
    <w:p>
      <w:pPr>
        <w:spacing w:after="200" w:before="60"/>
      </w:pPr>
      <w:r>
        <w:rPr>
          <w:rFonts w:ascii="Times New Roman" w:cs="Times New Roman" w:eastAsia="Times New Roman" w:hAnsi="Times New Roman"/>
          <w:b/>
          <w:bCs/>
          <w:color w:val="0E6E96"/>
          <w:sz w:val="30"/>
          <w:szCs w:val="30"/>
        </w:rPr>
        <w:t xml:space="preserve">Trois prolongements me semblent utiles.</w:t>
      </w:r>
    </w:p>
    <w:p>
      <w:pPr>
        <w:spacing w:after="160" w:line="360"/>
        <w:jc w:val="both"/>
      </w:pPr>
      <w:r>
        <w:rPr>
          <w:rFonts w:ascii="Times New Roman" w:cs="Times New Roman" w:eastAsia="Times New Roman" w:hAnsi="Times New Roman"/>
          <w:sz w:val="24"/>
          <w:szCs w:val="24"/>
        </w:rPr>
        <w:t xml:space="preserve">Trois prolongements me semblent utiles : analyser les mécanismes de transmission à travers les dépenses d'éducation, de santé et de logement ; intégrer la durée d'exposition aux transferts et leurs usages effectifs, que le statut binaire ne capte pas ; et étendre l'analyse aux autres pays de l'UEMOA couverts par l'EHCVM, dont le questionnaire est harmonisé.</w:t>
      </w:r>
    </w:p>
    <w:p>
      <w:pPr>
        <w:pStyle w:val="Heading1"/>
        <w:spacing w:after="200" w:before="400"/>
      </w:pPr>
      <w:r>
        <w:rPr>
          <w:rFonts w:ascii="Times New Roman" w:cs="Times New Roman" w:eastAsia="Times New Roman" w:hAnsi="Times New Roman"/>
          <w:b/>
          <w:bCs/>
          <w:color w:val="0E6E96"/>
          <w:sz w:val="30"/>
          <w:szCs w:val="30"/>
        </w:rPr>
        <w:t xml:space="preserve">Clôture</w:t>
      </w:r>
    </w:p>
    <w:p>
      <w:pPr>
        <w:pBdr>
          <w:bottom w:val="single" w:color="1CABE2" w:sz="6"/>
        </w:pBdr>
        <w:tabs>
          <w:tab w:val="right" w:pos="9026"/>
        </w:tabs>
        <w:spacing w:after="120" w:before="320"/>
      </w:pPr>
      <w:r>
        <w:rPr>
          <w:rFonts w:ascii="Times New Roman" w:cs="Times New Roman" w:eastAsia="Times New Roman" w:hAnsi="Times New Roman"/>
          <w:b/>
          <w:bCs/>
          <w:color w:val="0E6E96"/>
          <w:sz w:val="20"/>
          <w:szCs w:val="20"/>
        </w:rPr>
        <w:t xml:space="preserve">Diapositive finale</w:t>
      </w:r>
      <w:r>
        <w:rPr>
          <w:rFonts w:ascii="Times New Roman" w:cs="Times New Roman" w:eastAsia="Times New Roman" w:hAnsi="Times New Roman"/>
          <w:color w:val="6E747E"/>
          <w:sz w:val="20"/>
          <w:szCs w:val="20"/>
        </w:rPr>
        <w:t xml:space="preserve">  ·  Merci de votre attention</w:t>
      </w:r>
      <w:r>
        <w:rPr>
          <w:rFonts w:ascii="Times New Roman" w:cs="Times New Roman" w:eastAsia="Times New Roman" w:hAnsi="Times New Roman"/>
          <w:color w:val="6E747E"/>
          <w:sz w:val="20"/>
          <w:szCs w:val="20"/>
        </w:rPr>
        <w:t xml:space="preserve">	20 s</w:t>
      </w:r>
    </w:p>
    <w:p>
      <w:pPr>
        <w:spacing w:after="200" w:before="60"/>
      </w:pPr>
      <w:r>
        <w:rPr>
          <w:rFonts w:ascii="Times New Roman" w:cs="Times New Roman" w:eastAsia="Times New Roman" w:hAnsi="Times New Roman"/>
          <w:b/>
          <w:bCs/>
          <w:color w:val="0E6E96"/>
          <w:sz w:val="30"/>
          <w:szCs w:val="30"/>
        </w:rPr>
        <w:t xml:space="preserve">Je vous remercie de votre attention.</w:t>
      </w:r>
    </w:p>
    <w:p>
      <w:pPr>
        <w:spacing w:after="160" w:line="360"/>
        <w:jc w:val="both"/>
      </w:pPr>
      <w:r>
        <w:rPr>
          <w:rFonts w:ascii="Times New Roman" w:cs="Times New Roman" w:eastAsia="Times New Roman" w:hAnsi="Times New Roman"/>
          <w:sz w:val="24"/>
          <w:szCs w:val="24"/>
        </w:rPr>
        <w:t xml:space="preserve">Je vous remercie de votre attention et je me tiens à votre disposition pour vos questions.</w:t>
      </w:r>
    </w:p>
    <w:p>
      <w:pPr>
        <w:spacing w:after="160"/>
        <w:ind w:left="340"/>
      </w:pPr>
      <w:r>
        <w:rPr>
          <w:rFonts w:ascii="Times New Roman" w:cs="Times New Roman" w:eastAsia="Times New Roman" w:hAnsi="Times New Roman"/>
          <w:i/>
          <w:iCs/>
          <w:color w:val="6E747E"/>
          <w:sz w:val="22"/>
          <w:szCs w:val="22"/>
        </w:rPr>
        <w:t xml:space="preserve">Rester debout, face au jury, sans se rasseoir immédiatement. Deux annexes sont accessibles par bouton : la matrice MODA complète, et les motifs et montants des transferts.</w:t>
      </w:r>
    </w:p>
    <w:p>
      <w:pPr>
        <w:pageBreakBefore/>
      </w:pPr>
      <w:r>
        <w:t xml:space="preserve"/>
      </w:r>
    </w:p>
    <w:p>
      <w:pPr>
        <w:pStyle w:val="Heading1"/>
        <w:spacing w:after="200" w:before="400"/>
      </w:pPr>
      <w:r>
        <w:rPr>
          <w:rFonts w:ascii="Times New Roman" w:cs="Times New Roman" w:eastAsia="Times New Roman" w:hAnsi="Times New Roman"/>
          <w:b/>
          <w:bCs/>
          <w:color w:val="0E6E96"/>
          <w:sz w:val="30"/>
          <w:szCs w:val="30"/>
        </w:rPr>
        <w:t xml:space="preserve">Réponses préparées aux questions attendues</w:t>
      </w:r>
    </w:p>
    <w:p>
      <w:pPr>
        <w:spacing w:after="100" w:before="280"/>
      </w:pPr>
      <w:r>
        <w:rPr>
          <w:rFonts w:ascii="Times New Roman" w:cs="Times New Roman" w:eastAsia="Times New Roman" w:hAnsi="Times New Roman"/>
          <w:b/>
          <w:bCs/>
          <w:color w:val="0E6E96"/>
          <w:sz w:val="24"/>
          <w:szCs w:val="24"/>
        </w:rPr>
        <w:t xml:space="preserve">Pourquoi un effet de signe défavorable ?</w:t>
      </w:r>
    </w:p>
    <w:p>
      <w:pPr>
        <w:spacing w:after="160" w:line="360"/>
        <w:jc w:val="both"/>
      </w:pPr>
      <w:r>
        <w:rPr>
          <w:rFonts w:ascii="Times New Roman" w:cs="Times New Roman" w:eastAsia="Times New Roman" w:hAnsi="Times New Roman"/>
          <w:sz w:val="24"/>
          <w:szCs w:val="24"/>
        </w:rPr>
        <w:t xml:space="preserve">Parce que les bénéficiaires partaient d'un niveau plus favorable et que leur avantage s'érode : l'incidence recule chez tous, mais moins vite chez eux. Les trois mécanismes que j'ai exposés, l'usage des fonds, la contrainte d'offre et la marge sur laquelle l'effet opère, expliquent pourquoi l'apport monétaire ne suffit pas à maintenir cet avantage.</w:t>
      </w:r>
    </w:p>
    <w:p>
      <w:pPr>
        <w:spacing w:after="100" w:before="280"/>
      </w:pPr>
      <w:r>
        <w:rPr>
          <w:rFonts w:ascii="Times New Roman" w:cs="Times New Roman" w:eastAsia="Times New Roman" w:hAnsi="Times New Roman"/>
          <w:b/>
          <w:bCs/>
          <w:color w:val="0E6E96"/>
          <w:sz w:val="24"/>
          <w:szCs w:val="24"/>
        </w:rPr>
        <w:t xml:space="preserve">Votre écart de 63,5 pour cent avec les 50,7 pour cent de l'ANSD et de l'UNICEF ?</w:t>
      </w:r>
    </w:p>
    <w:p>
      <w:pPr>
        <w:spacing w:after="160" w:line="360"/>
        <w:jc w:val="both"/>
      </w:pPr>
      <w:r>
        <w:rPr>
          <w:rFonts w:ascii="Times New Roman" w:cs="Times New Roman" w:eastAsia="Times New Roman" w:hAnsi="Times New Roman"/>
          <w:sz w:val="24"/>
          <w:szCs w:val="24"/>
        </w:rPr>
        <w:t xml:space="preserve">Les deux chiffres ne portent pas sur le même échantillon. Le mien est restreint aux enfants suivis aux deux vagues, ce qui exclut notamment les naissances postérieures à 2018 et les enfants des ménages perdus de vue. La construction des indicateurs, contrainte par la comparabilité entre vagues, joue également.</w:t>
      </w:r>
    </w:p>
    <w:p>
      <w:pPr>
        <w:spacing w:after="100" w:before="280"/>
      </w:pPr>
      <w:r>
        <w:rPr>
          <w:rFonts w:ascii="Times New Roman" w:cs="Times New Roman" w:eastAsia="Times New Roman" w:hAnsi="Times New Roman"/>
          <w:b/>
          <w:bCs/>
          <w:color w:val="0E6E96"/>
          <w:sz w:val="24"/>
          <w:szCs w:val="24"/>
        </w:rPr>
        <w:t xml:space="preserve">Comment justifiez-vous l'hypothèse de tendances parallèles ?</w:t>
      </w:r>
    </w:p>
    <w:p>
      <w:pPr>
        <w:spacing w:after="160" w:line="360"/>
        <w:jc w:val="both"/>
      </w:pPr>
      <w:r>
        <w:rPr>
          <w:rFonts w:ascii="Times New Roman" w:cs="Times New Roman" w:eastAsia="Times New Roman" w:hAnsi="Times New Roman"/>
          <w:sz w:val="24"/>
          <w:szCs w:val="24"/>
        </w:rPr>
        <w:t xml:space="preserve">Je ne peux pas la tester directement avec deux vagues, et je l'assume. L'appariement sur les caractéristiques observables à la période de base la rend plus crédible, puisque les groupes comparés partent de niveaux et de profils voisins. C'est une limite du dispositif, pas un oubli.</w:t>
      </w:r>
    </w:p>
    <w:p>
      <w:pPr>
        <w:spacing w:after="100" w:before="280"/>
      </w:pPr>
      <w:r>
        <w:rPr>
          <w:rFonts w:ascii="Times New Roman" w:cs="Times New Roman" w:eastAsia="Times New Roman" w:hAnsi="Times New Roman"/>
          <w:b/>
          <w:bCs/>
          <w:color w:val="0E6E96"/>
          <w:sz w:val="24"/>
          <w:szCs w:val="24"/>
        </w:rPr>
        <w:t xml:space="preserve">Pourquoi le seuil de quatre dimensions ?</w:t>
      </w:r>
    </w:p>
    <w:p>
      <w:pPr>
        <w:spacing w:after="160" w:line="360"/>
        <w:jc w:val="both"/>
      </w:pPr>
      <w:r>
        <w:rPr>
          <w:rFonts w:ascii="Times New Roman" w:cs="Times New Roman" w:eastAsia="Times New Roman" w:hAnsi="Times New Roman"/>
          <w:sz w:val="24"/>
          <w:szCs w:val="24"/>
        </w:rPr>
        <w:t xml:space="preserve">C'est le seuil retenu par l'ANSD et l'UNICEF, ce qui assure la comparabilité avec les travaux existants. Je l'ai en outre fait varier de une à sept dimensions : l'ampleur suit une courbe en cloche, maximale à quatre, ce qui montre que le résultat ne dépend pas d'un choix arbitraire.</w:t>
      </w:r>
    </w:p>
    <w:p>
      <w:pPr>
        <w:spacing w:after="100" w:before="280"/>
      </w:pPr>
      <w:r>
        <w:rPr>
          <w:rFonts w:ascii="Times New Roman" w:cs="Times New Roman" w:eastAsia="Times New Roman" w:hAnsi="Times New Roman"/>
          <w:b/>
          <w:bCs/>
          <w:color w:val="0E6E96"/>
          <w:sz w:val="24"/>
          <w:szCs w:val="24"/>
        </w:rPr>
        <w:t xml:space="preserve">Pourquoi l'enfant plutôt que le ménage comme unité d'analyse ?</w:t>
      </w:r>
    </w:p>
    <w:p>
      <w:pPr>
        <w:spacing w:after="160" w:line="360"/>
        <w:jc w:val="both"/>
      </w:pPr>
      <w:r>
        <w:rPr>
          <w:rFonts w:ascii="Times New Roman" w:cs="Times New Roman" w:eastAsia="Times New Roman" w:hAnsi="Times New Roman"/>
          <w:sz w:val="24"/>
          <w:szCs w:val="24"/>
        </w:rPr>
        <w:t xml:space="preserve">Parce que les privations qui nous intéressent sont individuelles : la scolarisation, l'acte de naissance, l'illettrisme ne se mesurent pas au niveau du ménage. Deux enfants d'un même ménage peuvent connaître des situations différentes selon leur âge.</w:t>
      </w:r>
    </w:p>
    <w:p>
      <w:pPr>
        <w:spacing w:after="100" w:before="280"/>
      </w:pPr>
      <w:r>
        <w:rPr>
          <w:rFonts w:ascii="Times New Roman" w:cs="Times New Roman" w:eastAsia="Times New Roman" w:hAnsi="Times New Roman"/>
          <w:b/>
          <w:bCs/>
          <w:color w:val="0E6E96"/>
          <w:sz w:val="24"/>
          <w:szCs w:val="24"/>
        </w:rPr>
        <w:t xml:space="preserve">Le résultat contredit-il la littérature ?</w:t>
      </w:r>
    </w:p>
    <w:p>
      <w:pPr>
        <w:spacing w:after="160" w:line="360"/>
        <w:jc w:val="both"/>
      </w:pPr>
      <w:r>
        <w:rPr>
          <w:rFonts w:ascii="Times New Roman" w:cs="Times New Roman" w:eastAsia="Times New Roman" w:hAnsi="Times New Roman"/>
          <w:sz w:val="24"/>
          <w:szCs w:val="24"/>
        </w:rPr>
        <w:t xml:space="preserve">Il la nuance plutôt qu'il ne la contredit. La littérature établit des effets sur la pauvreté monétaire et sur la scolarisation, mesurés au niveau du ménage. Je mesure autre chose, une pauvreté multidimensionnelle de l'enfant, sur un horizon de trois ans, et je corrige une sélection que beaucoup de travaux transversaux ne corrigent pas.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E74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E747E"/>
        <w:sz w:val="18"/>
        <w:szCs w:val="18"/>
      </w:rPr>
      <w:t xml:space="preserve">Discours de soutenance  ·  Sié Rachid TRAORÉ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Discours de soutenance</dc:title>
  <dc:creator>Sié Rachid TRAORÉ</dc:creator>
  <cp:lastModifiedBy>Un-named</cp:lastModifiedBy>
  <cp:revision>1</cp:revision>
  <dcterms:created xsi:type="dcterms:W3CDTF">2026-08-03T21:14:34.599Z</dcterms:created>
  <dcterms:modified xsi:type="dcterms:W3CDTF">2026-08-03T21:14:34.621Z</dcterms:modified>
</cp:coreProperties>
</file>

<file path=docProps/custom.xml><?xml version="1.0" encoding="utf-8"?>
<Properties xmlns="http://schemas.openxmlformats.org/officeDocument/2006/custom-properties" xmlns:vt="http://schemas.openxmlformats.org/officeDocument/2006/docPropsVTypes"/>
</file>