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22"/>
          <w:szCs w:val="22"/>
        </w:rPr>
        <w:t xml:space="preserve">SEMANA 09</w:t>
      </w:r>
    </w:p>
    <w:p>
      <w:pPr>
        <w:spacing w:after="100"/>
        <w:jc w:val="center"/>
      </w:pPr>
      <w:r>
        <w:rPr>
          <w:b/>
          <w:bCs/>
          <w:color w:val="1A3C6E"/>
          <w:sz w:val="32"/>
          <w:szCs w:val="32"/>
        </w:rPr>
        <w:t xml:space="preserve">Gobierno de TI: Alineamiento Estratégico, Creación de Valor y Gestión de Procesos</w:t>
      </w:r>
    </w:p>
    <w:p>
      <w:pPr>
        <w:spacing w:after="260"/>
        <w:jc w:val="center"/>
      </w:pPr>
      <w:r>
        <w:rPr>
          <w:i/>
          <w:iCs/>
          <w:color w:val="555555"/>
          <w:sz w:val="20"/>
          <w:szCs w:val="20"/>
        </w:rPr>
        <w:t xml:space="preserve">Curso: Gerencia de Sistemas de Información — VII Ciclo — Ingeniería de Sistemas y Computación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Unidad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Unidad III: Infraestructura de tecnologías de información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Capacidad de la unidad</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Identifica la infraestructura de la Tecnología de la Información para ser aplicada en la organización.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Estrategia didáctica</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Aprendizaje basado en problemas</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Avance (%)</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56.25 %</w:t>
            </w:r>
          </w:p>
        </w:tc>
      </w:tr>
    </w:tbl>
    <w:p>
      <w:pPr>
        <w:spacing w:after="200"/>
      </w:pPr>
    </w:p>
    <w:p>
      <w:pPr>
        <w:pStyle w:val="Heading1"/>
        <w:spacing w:after="140" w:before="280"/>
      </w:pPr>
      <w:r>
        <w:t xml:space="preserve">1. Introducción</w:t>
      </w:r>
    </w:p>
    <w:p>
      <w:pPr>
        <w:spacing w:after="160" w:line="276"/>
      </w:pPr>
      <w:r>
        <w:t xml:space="preserve">Con el ingreso a la Unidad III, el curso se enfoca en la infraestructura de tecnologías de información como recurso estratégico de la organización. El punto de partida de esta unidad es el gobierno de TI, una disciplina que busca asegurar que las inversiones, decisiones y recursos tecnológicos de la empresa estén efectivamente alineados con sus objetivos de negocio. Sin un gobierno adecuado, hasta la infraestructura más moderna puede convertirse en un conjunto de activos costosos y desarticulados que no generan el valor esperado para la organización.</w:t>
      </w:r>
    </w:p>
    <w:p>
      <w:pPr>
        <w:pStyle w:val="Heading1"/>
        <w:spacing w:after="140" w:before="280"/>
      </w:pPr>
      <w:r>
        <w:t xml:space="preserve">2. Concepto de gobierno de TI</w:t>
      </w:r>
    </w:p>
    <w:p>
      <w:pPr>
        <w:spacing w:after="160" w:line="276"/>
      </w:pPr>
      <w:r>
        <w:t xml:space="preserve">El gobierno de TI (IT Governance) es el conjunto de estrategias, políticas, responsabilidades, estructuras y procesos que una organización implementa para garantizar que sus recursos tecnológicos estén alineados con sus objetivos estratégicos y generen valor real para el negocio. No debe confundirse con la simple gestión técnica de la infraestructura: el gobierno de TI actúa como el puente entre la estrategia empresarial y la ejecución tecnológica, definiendo qué decisiones deben tomarse sobre TI, quién debe tomarlas, y cómo se ejecutarán y supervisarán.</w:t>
      </w:r>
    </w:p>
    <w:p>
      <w:pPr>
        <w:spacing w:after="160" w:line="276"/>
      </w:pPr>
      <w:r>
        <w:t xml:space="preserve">La norma ISO/IEC 38500 sintetiza esta idea al señalar que el gobierno de las TI debe ocuparse de tres cuestiones centrales: qué decisiones deben tomarse para asegurar la gestión y el uso efectivo de las TI, quiénes deben tomar dichas decisiones, y cómo serán ejecutadas y monitorizadas. La misma norma identifica tres tareas clave del gobierno: evaluar, dirigir y monitorear, que deben distinguirse de las tareas propias de la gestión operativa de TI (planificar, construir y ejecutar).</w:t>
      </w:r>
    </w:p>
    <w:p>
      <w:pPr>
        <w:pStyle w:val="Heading1"/>
        <w:spacing w:after="140" w:before="280"/>
      </w:pPr>
      <w:r>
        <w:t xml:space="preserve">3. Alineamiento estratégico de TI con los objetivos de la empresa</w:t>
      </w:r>
    </w:p>
    <w:p>
      <w:pPr>
        <w:spacing w:after="160" w:line="276"/>
      </w:pPr>
      <w:r>
        <w:t xml:space="preserve">El principal objetivo del gobierno de TI es lograr el alineamiento entre la estrategia del negocio y la estrategia tecnológica, de modo que cada inversión y decisión en TI contribuya efectivamente al logro de los objetivos organizacionales. Este alineamiento implica traducir las prioridades del negocio en normas y procedimientos concretos para TI; por ejemplo, un objetivo estratégico como “ampliar el contacto con los clientes a nivel global” puede traducirse en decisiones tecnológicas como consolidar la base de datos de clientes o invertir en plataformas de atención multicanal.</w:t>
      </w:r>
    </w:p>
    <w:p>
      <w:pPr>
        <w:spacing w:after="160" w:line="276"/>
      </w:pPr>
      <w:r>
        <w:t xml:space="preserve">Para lograr este alineamiento, las organizaciones suelen apoyarse en marcos de referencia como COBIT (Control Objectives for Information and related Technologies), ITIL (Information Technology Infrastructure Library) o la norma ISO/IEC 38500, los cuales, con distinto alcance, persiguen un mismo propósito: dirigir la gestión de TI hacia el negocio, asegurar la creación de valor, administrar los riesgos, gestionar adecuadamente los recursos y monitorear el desempeño.</w:t>
      </w:r>
    </w:p>
    <w:p>
      <w:pPr>
        <w:pStyle w:val="Heading1"/>
        <w:spacing w:after="140" w:before="280"/>
      </w:pPr>
      <w:r>
        <w:t xml:space="preserve">4. Creación de valor a través del gobierno de TI</w:t>
      </w:r>
    </w:p>
    <w:p>
      <w:pPr>
        <w:spacing w:after="160" w:line="276"/>
      </w:pPr>
      <w:r>
        <w:t xml:space="preserve">El alineamiento estratégico, por sí solo, no garantiza resultados: el gobierno de TI debe también asegurar que las inversiones tecnológicas efectivamente entreguen el valor prometido al negocio. Esta creación de valor implica que los servicios y funciones de TI se proporcionen de la forma más eficiente posible, optimizando costos sin sacrificar la calidad ni la seguridad de la información.</w:t>
      </w:r>
    </w:p>
    <w:p>
      <w:pPr>
        <w:spacing w:after="160" w:line="276"/>
      </w:pPr>
      <w:r>
        <w:t xml:space="preserve">El IT Governance Institute (ITGI) identifica cinco dominios o focos de atención del gobierno de TI, estrechamente relacionados entre sí: la alineación estratégica de TI con el negocio, la entrega de valor de las tecnologías, la gestión de riesgos asociados a TI, la gestión de los recursos tecnológicos, y la medición del desempeño de TI. Estos cinco dominios constituyen, en conjunto, el marco mínimo que cualquier organización debería abordar al diseñar su gobierno de TI.</w:t>
      </w:r>
    </w:p>
    <w:p>
      <w:pPr>
        <w:pStyle w:val="Heading1"/>
        <w:spacing w:after="140" w:before="280"/>
      </w:pPr>
      <w:r>
        <w:t xml:space="preserve">5. Gestión de procesos dentro del gobierno de TI</w:t>
      </w:r>
    </w:p>
    <w:p>
      <w:pPr>
        <w:spacing w:after="160" w:line="276"/>
      </w:pPr>
      <w:r>
        <w:t xml:space="preserve">La gestión de procesos es el componente operativo que pone en práctica las decisiones del gobierno de TI: implica diseñar, documentar, ejecutar y mejorar continuamente los procesos mediante los cuales se planifican, adquieren, implementan y mantienen los servicios y la infraestructura tecnológica de la organización. Mientras que el gobierno de TI se ocupa de evaluar, dirigir y monitorear, la gestión de procesos se concentra en planificar, construir, ejecutar y dar soporte a las actividades del día a día.</w:t>
      </w:r>
    </w:p>
    <w:p>
      <w:pPr>
        <w:pStyle w:val="Heading2"/>
        <w:spacing w:after="120" w:before="200"/>
      </w:pPr>
      <w:r>
        <w:t xml:space="preserve">5.1 Procesos típicos dentro del gobierno de TI</w:t>
      </w:r>
    </w:p>
    <w:p>
      <w:pPr>
        <w:pStyle w:val="ListParagraph"/>
        <w:numPr>
          <w:ilvl w:val="0"/>
          <w:numId w:val="2"/>
        </w:numPr>
        <w:spacing w:after="100"/>
      </w:pPr>
      <w:r>
        <w:t xml:space="preserve">Gestión de la estrategia y la cartera de proyectos de TI: priorizar y aprobar las inversiones tecnológicas alineadas con el negocio.</w:t>
      </w:r>
    </w:p>
    <w:p>
      <w:pPr>
        <w:pStyle w:val="ListParagraph"/>
        <w:numPr>
          <w:ilvl w:val="0"/>
          <w:numId w:val="2"/>
        </w:numPr>
        <w:spacing w:after="100"/>
      </w:pPr>
      <w:r>
        <w:t xml:space="preserve">Gestión de riesgos de TI: identificar, evaluar y mitigar los riesgos tecnológicos que podrían afectar a la organización.</w:t>
      </w:r>
    </w:p>
    <w:p>
      <w:pPr>
        <w:pStyle w:val="ListParagraph"/>
        <w:numPr>
          <w:ilvl w:val="0"/>
          <w:numId w:val="2"/>
        </w:numPr>
        <w:spacing w:after="100"/>
      </w:pPr>
      <w:r>
        <w:t xml:space="preserve">Gestión de recursos de TI: administrar de manera óptima el personal, la infraestructura y el presupuesto destinados a tecnología.</w:t>
      </w:r>
    </w:p>
    <w:p>
      <w:pPr>
        <w:pStyle w:val="ListParagraph"/>
        <w:numPr>
          <w:ilvl w:val="0"/>
          <w:numId w:val="2"/>
        </w:numPr>
        <w:spacing w:after="100"/>
      </w:pPr>
      <w:r>
        <w:t xml:space="preserve">Medición y monitoreo del desempeño: establecer indicadores (KPI) que permitan evaluar si las TI están generando el valor esperado.</w:t>
      </w:r>
    </w:p>
    <w:p>
      <w:pPr>
        <w:pStyle w:val="ListParagraph"/>
        <w:numPr>
          <w:ilvl w:val="0"/>
          <w:numId w:val="2"/>
        </w:numPr>
        <w:spacing w:after="100"/>
      </w:pPr>
      <w:r>
        <w:t xml:space="preserve">Gestión del cumplimiento normativo: asegurar que las prácticas de TI respeten las leyes, normas y políticas internas aplicables.</w:t>
      </w:r>
    </w:p>
    <w:p>
      <w:pPr>
        <w:spacing w:after="160" w:line="276"/>
      </w:pPr>
      <w:r>
        <w:t xml:space="preserve">Para que estos procesos funcionen de manera efectiva, el gobierno de TI exitoso requiere una comunicación fluida entre todas las partes interesadas, basada en relaciones constructivas, un lenguaje común y un compromiso compartido con las políticas y procedimientos establecidos.</w:t>
      </w:r>
    </w:p>
    <w:p>
      <w:pPr>
        <w:pStyle w:val="Heading1"/>
        <w:spacing w:after="140" w:before="280"/>
      </w:pPr>
      <w:r>
        <w:t xml:space="preserve">6. Cuadro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Concepto</w:t>
            </w:r>
          </w:p>
        </w:tc>
        <w:tc>
          <w:tcPr>
            <w:tcW w:type="dxa" w:w="624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Idea clave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Gobierno de TI</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Estrategias, políticas y estructuras que alinean los recursos tecnológicos con los objetivos del negocio.</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Tareas clave (ISO/IEC 38500)</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Evaluar, dirigir y monitorear (distintas de planificar, construir y ejecutar, propias de la gestión).</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Alineamiento estratégico</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Traducir los objetivos del negocio en decisiones y normas concretas para la tecnología.</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Cinco dominios del ITGI</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Alineación estratégica, entrega de valor, gestión de riesgos, gestión de recursos y medición del desempeño.</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Gestión de procesos</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Componente operativo que ejecuta y mejora continuamente las decisiones del gobierno de TI.</w:t>
            </w:r>
          </w:p>
        </w:tc>
      </w:tr>
    </w:tbl>
    <w:p>
      <w:pPr>
        <w:spacing w:after="200"/>
      </w:pPr>
    </w:p>
    <w:p>
      <w:pPr>
        <w:pStyle w:val="Heading1"/>
        <w:spacing w:after="140" w:before="280"/>
      </w:pPr>
      <w:r>
        <w:t xml:space="preserve">7. Referencias bibliográficas</w:t>
      </w:r>
    </w:p>
    <w:p>
      <w:pPr>
        <w:spacing w:after="160" w:line="276"/>
      </w:pPr>
      <w:r>
        <w:rPr>
          <w:sz w:val="20"/>
          <w:szCs w:val="20"/>
        </w:rPr>
        <w:t xml:space="preserve">LAUDON, Kenneth C. y LAUDON, Jane P. Sistemas de información gerencial. 15.ª ed. Pearson, 2024. ISBN 9786073260107.</w:t>
      </w:r>
    </w:p>
    <w:p>
      <w:pPr>
        <w:spacing w:after="160" w:line="276"/>
      </w:pPr>
      <w:r>
        <w:rPr>
          <w:sz w:val="20"/>
          <w:szCs w:val="20"/>
        </w:rPr>
        <w:t xml:space="preserve">OZ, Effy. Administración de los sistemas de información. 5.ª ed. Cengage Learning, 2008.</w:t>
      </w:r>
    </w:p>
    <w:p>
      <w:pPr>
        <w:spacing w:after="160" w:line="276"/>
      </w:pPr>
      <w:r>
        <w:rPr>
          <w:sz w:val="20"/>
          <w:szCs w:val="20"/>
        </w:rPr>
        <w:t xml:space="preserve">LAPIEDRA ALCAMÍ, Rafael; DEVECE CARAÑANA, Carlos y GUIRAL HERRANDO, Joaquín. Introducción a la gestión de sistemas de información en la empresa. Universitat Jaume I, 2011. ISBN 978-84-693-9894-4.</w:t>
      </w:r>
    </w:p>
    <w:p>
      <w:pPr>
        <w:spacing w:after="160" w:line="276"/>
      </w:pPr>
      <w:r>
        <w:rPr>
          <w:sz w:val="20"/>
          <w:szCs w:val="20"/>
        </w:rPr>
        <w:t xml:space="preserve">BERNARDI, Sandra y CALVO, Arturo. Sistemas de información para la dirección. Zaragoza: Prensas de la Universidad de Zaragoza,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Gerencia de Sistemas de Información</w:t>
    </w:r>
    <w:r>
      <w:rPr>
        <w:color w:val="777777"/>
        <w:sz w:val="16"/>
        <w:szCs w:val="16"/>
      </w:rPr>
      <w:t xml:space="preserve">	Semana 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2026-06-24T22:29:05.543Z</dcterms:created>
  <dcterms:modified xsi:type="dcterms:W3CDTF">2026-06-24T22:29:05.544Z</dcterms:modified>
</cp:coreProperties>
</file>

<file path=docProps/custom.xml><?xml version="1.0" encoding="utf-8"?>
<Properties xmlns="http://schemas.openxmlformats.org/officeDocument/2006/custom-properties" xmlns:vt="http://schemas.openxmlformats.org/officeDocument/2006/docPropsVTypes"/>
</file>