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>Brainstorm &amp; Idea Prioritization – Script-Controlled ACL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6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6"/>
              </w:rP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6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6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The team brainstormed ways to prevent unauthorized record visibility and lifecycle changes in ServiceNow while keeping legitimate EEE branch work efficient.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Ideas were grouped by access policy, data conditions, operations, testing, governance, and usability. Priorities reflect security impact, feasibility, and alignment with the supplied lab scope.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t>Selected problem statement: ServiceNow users need record-level access based on both assigned roles and the Branch value, but broad or incomplete ACL rules can expose or alter institution records without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>Stakeholders: ServiceNow administrator, EEE branch user, data owner, tester, project manager, and product owner.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t>Access policy ideas: Branch-aware Read ACL; admin override; role matrix; separate operation ACLs; direct-record denial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>Testing and governance ideas: u_institution_details with ECE/EEE/CSE test data; roles bb1–bb4; impersonation tests; ServiceNow ATF automation; audit dashboard; periodic role review; disposable records for Delete tests; performance and concurrency checks.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t>1. High – Implement advanced Read ACL with admin override, bb1 role, and Branch = EEE condition.</w:t>
        <w:br/>
        <w:t>2. High – Add separate Create/bb2, Write/bb3, and Delete/bb4 ACLs.</w:t>
        <w:br/>
        <w:t>3. High – Create positive and negative tests for every role/Branch/operation combination.</w:t>
        <w:br/>
        <w:t>4. Medium – Add ATF regression and audit reporting.</w:t>
        <w:br/>
        <w:t>5. Medium – Add role governance and clear access-denied guidance.</w:t>
        <w:br/>
        <w:t>6. Low – Expand rules to additional branches and portal-specific usability improvements.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