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6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6"/>
              </w:rPr>
              <w:t>To be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6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6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6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FR-1</w:t>
            </w:r>
          </w:p>
        </w:tc>
        <w:tc>
          <w:tcPr/>
          <w:p>
            <w:r>
              <w:rPr>
                <w:sz w:val="16"/>
              </w:rPr>
              <w:t>User and Role Setup</w:t>
            </w:r>
          </w:p>
        </w:tc>
        <w:tc>
          <w:tcPr/>
          <w:p>
            <w:r>
              <w:rPr>
                <w:sz w:val="16"/>
              </w:rPr>
              <w:t>Create EEE User; create custom roles bb1, bb2, bb3, and bb4; assign roles to the test user.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FR-2</w:t>
            </w:r>
          </w:p>
        </w:tc>
        <w:tc>
          <w:tcPr/>
          <w:p>
            <w:r>
              <w:rPr>
                <w:sz w:val="16"/>
              </w:rPr>
              <w:t>Institution Details Table</w:t>
            </w:r>
          </w:p>
        </w:tc>
        <w:tc>
          <w:tcPr/>
          <w:p>
            <w:r>
              <w:rPr>
                <w:sz w:val="16"/>
              </w:rPr>
              <w:t>Create u_institution_details with auto-number roll number, User references, Branch choice (ECE/EEE/CSE), Email, Phone Number, and Description.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6"/>
              </w:rPr>
              <w:t>FR-3</w:t>
            </w:r>
          </w:p>
        </w:tc>
        <w:tc>
          <w:tcPr/>
          <w:p>
            <w:r>
              <w:rPr>
                <w:sz w:val="16"/>
              </w:rPr>
              <w:t>Read Access Control</w:t>
            </w:r>
          </w:p>
        </w:tc>
        <w:tc>
          <w:tcPr/>
          <w:p>
            <w:r>
              <w:rPr>
                <w:sz w:val="16"/>
              </w:rPr>
              <w:t>Allow administrators to read all records; allow bb1 users to read EEE records; deny read access to users without the required role/condition.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FR-4</w:t>
            </w:r>
          </w:p>
        </w:tc>
        <w:tc>
          <w:tcPr/>
          <w:p>
            <w:r>
              <w:rPr>
                <w:sz w:val="16"/>
              </w:rPr>
              <w:t>Record Lifecycle Access</w:t>
            </w:r>
          </w:p>
        </w:tc>
        <w:tc>
          <w:tcPr/>
          <w:p>
            <w:r>
              <w:rPr>
                <w:sz w:val="16"/>
              </w:rPr>
              <w:t>Require bb2 for Create, bb3 for Write, and bb4 for Delete. Verify behavior in list, form, and supported Service Portal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FR-5</w:t>
            </w:r>
          </w:p>
        </w:tc>
        <w:tc>
          <w:tcPr/>
          <w:p>
            <w:r>
              <w:rPr>
                <w:sz w:val="16"/>
              </w:rPr>
              <w:t>Validation and Evidence</w:t>
            </w:r>
          </w:p>
        </w:tc>
        <w:tc>
          <w:tcPr/>
          <w:p>
            <w:r>
              <w:rPr>
                <w:sz w:val="16"/>
              </w:rPr>
              <w:t>Create representative ECE/EEE/CSE records and capture positive/negative access results, ACL configuration evidence, and defects.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FR-6</w:t>
            </w:r>
          </w:p>
        </w:tc>
        <w:tc>
          <w:tcPr/>
          <w:p>
            <w:r>
              <w:rPr>
                <w:sz w:val="16"/>
              </w:rPr>
              <w:t>Audit and Recovery</w:t>
            </w:r>
          </w:p>
        </w:tc>
        <w:tc>
          <w:tcPr/>
          <w:p>
            <w:r>
              <w:rPr>
                <w:sz w:val="16"/>
              </w:rPr>
              <w:t>Use disposable records for destructive tests and retain test evidence; never store passwords in project documentation.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NFR-1</w:t>
            </w:r>
          </w:p>
        </w:tc>
        <w:tc>
          <w:tcPr/>
          <w:p>
            <w:r>
              <w:rPr>
                <w:sz w:val="16"/>
              </w:rPr>
              <w:t>Usability</w:t>
            </w:r>
          </w:p>
        </w:tc>
        <w:tc>
          <w:tcPr/>
          <w:p>
            <w:r>
              <w:rPr>
                <w:sz w:val="16"/>
              </w:rPr>
              <w:t>Authorized users should see clear list/form behavior, available actions, and understandable access-denied responses.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NFR-2</w:t>
            </w:r>
          </w:p>
        </w:tc>
        <w:tc>
          <w:tcPr/>
          <w:p>
            <w:r>
              <w:rPr>
                <w:sz w:val="16"/>
              </w:rPr>
              <w:t>Security</w:t>
            </w:r>
          </w:p>
        </w:tc>
        <w:tc>
          <w:tcPr/>
          <w:p>
            <w:r>
              <w:rPr>
                <w:sz w:val="16"/>
              </w:rPr>
              <w:t>Enforce least privilege using ServiceNow roles, Branch data condition, advanced ACL script, and operation-specific ACLs.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sz w:val="16"/>
              </w:rPr>
              <w:t>NFR-3</w:t>
            </w:r>
          </w:p>
        </w:tc>
        <w:tc>
          <w:tcPr/>
          <w:p>
            <w:r>
              <w:rPr>
                <w:sz w:val="16"/>
              </w:rPr>
              <w:t>Reliability</w:t>
            </w:r>
          </w:p>
        </w:tc>
        <w:tc>
          <w:tcPr/>
          <w:p>
            <w:r>
              <w:rPr>
                <w:sz w:val="16"/>
              </w:rPr>
              <w:t>ACL decisions must remain consistent across repeated requests and role/Branch combinations without bypasses or partial writes.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NFR-4</w:t>
            </w:r>
          </w:p>
        </w:tc>
        <w:tc>
          <w:tcPr/>
          <w:p>
            <w:r>
              <w:rPr>
                <w:sz w:val="16"/>
              </w:rPr>
              <w:t>Performance</w:t>
            </w:r>
          </w:p>
        </w:tc>
        <w:tc>
          <w:tcPr/>
          <w:p>
            <w:r>
              <w:rPr>
                <w:sz w:val="16"/>
              </w:rPr>
              <w:t>List/form ACL evaluation should remain within an agreed response target under representative data volume and controlled concurrency.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NFR-5</w:t>
            </w:r>
          </w:p>
        </w:tc>
        <w:tc>
          <w:tcPr/>
          <w:p>
            <w:r>
              <w:rPr>
                <w:sz w:val="16"/>
              </w:rPr>
              <w:t>Availability</w:t>
            </w:r>
          </w:p>
        </w:tc>
        <w:tc>
          <w:tcPr/>
          <w:p>
            <w:r>
              <w:rPr>
                <w:sz w:val="16"/>
              </w:rPr>
              <w:t>Use the ServiceNow instance’s supported availability, authentication, logging, and recovery controls; ACL changes require authorized administration.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sz w:val="16"/>
              </w:rPr>
              <w:t>NFR-6</w:t>
            </w:r>
          </w:p>
        </w:tc>
        <w:tc>
          <w:tcPr/>
          <w:p>
            <w:r>
              <w:rPr>
                <w:sz w:val="16"/>
              </w:rPr>
              <w:t>Scalability</w:t>
            </w:r>
          </w:p>
        </w:tc>
        <w:tc>
          <w:tcPr/>
          <w:p>
            <w:r>
              <w:rPr>
                <w:sz w:val="16"/>
              </w:rPr>
              <w:t>The table and ACL design should support increasing records and users; use indexed/appropriate fields and regression tests as policies expand.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