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2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</w:rPr>
        <w:t>Problem–Solution Fit — ACL Access Control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2 October 2026</w:t>
            </w:r>
          </w:p>
        </w:tc>
      </w:tr>
      <w:tr w:rsidR="004360B1" w14:paraId="7890E6B7" w14:textId="77777777">
        <w:tc>
          <w:tcPr>
            <w:tcW w:w="4508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 w:rsidR="004360B1" w14:paraId="51E034FC" w14:textId="77777777">
        <w:tc>
          <w:tcPr>
            <w:tcW w:w="4508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Script-Controlled ACL — Branch-Based Record Access</w:t>
            </w:r>
          </w:p>
        </w:tc>
      </w:tr>
      <w:tr w:rsidR="004360B1" w14:paraId="22167E14" w14:textId="77777777">
        <w:tc>
          <w:tcPr>
            <w:tcW w:w="4508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Problem–Solution Fit Summary:</w:t>
      </w:r>
    </w:p>
    <w:p w14:paraId="0F63D45D" w14:textId="77777777" w:rsidR="004360B1" w:rsidRDefault="00000000">
      <w:r>
        <w:t>This ServiceNow training lab addresses a concrete access-control problem: institution-detail records span ECE, EEE, and CSE branches, but not every user should be able to read or change every record. The proposed fit is a role-gated record ACL design that limits EEE reads to EEE records and gates create, write, and delete operations by separate roles.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Fit hypotheses and design goals (not yet validated with live customers):</w:t>
      </w:r>
    </w:p>
    <w:p w14:paraId="5CD00787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sz w:val="18"/>
        </w:rPr>
        <w:t>EEE users need to find and read records for their own branch without seeing ECE or CSE records.</w:t>
      </w:r>
    </w:p>
    <w:p w14:paraId="33BDAFEB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sz w:val="18"/>
        </w:rPr>
        <w:t>Administrators need broad access to administer the lab; this is explicitly stated for READ and should be verified for other operations in the instance.</w:t>
      </w:r>
    </w:p>
    <w:p w14:paraId="0F12971A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sz w:val="18"/>
        </w:rPr>
        <w:t>Separate bb2, bb3, and bb4 roles can make CREATE, WRITE, and DELETE permissions easier to reason about and test.</w:t>
      </w:r>
    </w:p>
    <w:p w14:paraId="573B73EC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sz w:val="18"/>
        </w:rPr>
        <w:t>Native ServiceNow record ACLs are the intended enforcement point; lists, forms, and Service Portal are interfaces, not substitutes for server-side ACL checks.</w:t>
      </w:r>
    </w:p>
    <w:p w14:paraId="1EDAF669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sz w:val="18"/>
        </w:rPr>
        <w:t>This is a three-hour instructional lab, not evidence of market demand, customer interviews, deployment success, or measured adoption.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pageBreakBefore/>
        <w:rPr>
          <w:b/>
        </w:rPr>
      </w:pPr>
      <w:r>
        <w:rPr>
          <w:b/>
        </w:rPr>
        <w:t>Filled Problem–Solution Fit Canvas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6D1"/>
          <w:left w:val="single" w:sz="6" w:space="0" w:color="B8C6D1"/>
          <w:bottom w:val="single" w:sz="6" w:space="0" w:color="B8C6D1"/>
          <w:right w:val="single" w:sz="6" w:space="0" w:color="B8C6D1"/>
          <w:insideH w:val="single" w:sz="6" w:space="0" w:color="B8C6D1"/>
          <w:insideV w:val="single" w:sz="6" w:space="0" w:color="B8C6D1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304"/>
            <w:vAlign w:val="center"/>
            <w:shd w:fill="244A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Canvas area</w:t>
            </w:r>
          </w:p>
        </w:tc>
        <w:tc>
          <w:tcPr>
            <w:tcW w:type="dxa" w:w="6624"/>
            <w:vAlign w:val="center"/>
            <w:shd w:fill="244A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ACL lab interpretation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1. Customer segment(s)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administrators/platform owners configuring a training instance; EEE users who need branch-specific reads; and users without the required roles. These are lab stakeholders, not validated commercial segments.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6. Customer constraints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Access depends on correct role assignment, an active table ACL, and accurate Branch values. The lab assumes an authenticated ServiceNow instance. Production requirements, support needs, and data-governance constraints are not specified.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5. Available solutions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source uses native ServiceNow record ACLs, role requirements, a Branch = EEE data condition, and a script for the administrator/bb1 read check. It does not compare other products or document an existing deployed solution.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2. Jobs-to-be-done / problems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Protect u_institution_details records; allow bb1 users to read EEE-branch records only; require bb2 to create, bb3 to write, and bb4 to delete. Administrators need the access described by the lab.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9. Problem root cause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broad table permission or a single undifferentiated role can expose or alter records beyond the intended scope. Read access needs both role logic and a branch condition; other CRUD operations need their own explicit checks.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7. Behaviour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user opens a list/form or attempts a table operation. ServiceNow evaluates the relevant record ACL; a passing check allows the operation and a failing check blocks it. This is the intended flow, not observed customer behaviour.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3. Triggers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user requests to view, create, edit, or delete a record; an administrator changes a role or ACL; or a record’s Branch value changes. No external demand or purchase trigger is documented.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10. Your solution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Institution Details (u_institution_details) with Branch choices ECE, EEE, and CSE. READ: admin exception or bb1, with the separate Branch = EEE data condition. CREATE: bb2; WRITE: bb3; DELETE: bb4. Source specifies no data condition for the latter three.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8.1. Online channels of behaviour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lists and forms; the source also names Service Portal in the intended outcome, where that interface is enabled. All entry points must still be protected by the ACL layer.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8.2. Offline channels of behaviour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None specified. The described lab is performed in ServiceNow; no offline/manual access process or channel is documented.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4. Emotions: before / after</w:t>
            </w:r>
          </w:p>
        </w:tc>
        <w:tc>
          <w:tcPr>
            <w:tcW w:type="dxa" w:w="6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Hypothesis only: before, users/admins may be uncertain about who can access branch records; after, clear permissions should improve confidence in appropriate access. No interviews or satisfaction measurements were supplied.</w:t>
            </w:r>
          </w:p>
        </w:tc>
      </w:tr>
    </w:tbl>
    <w:p w14:paraId="7EEF967C" w14:textId="77777777" w:rsidR="004360B1" w:rsidRDefault="00000000">
      <w:r>
        <w:rPr>
          <w:b/>
        </w:rPr>
        <w:t>Framework references and source:</w:t>
      </w:r>
    </w:p>
    <w:p w14:paraId="486D1A4B" w14:textId="77777777" w:rsidR="004360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p>
      <w:pPr>
        <w:spacing w:before="80" w:after="40"/>
      </w:pPr>
      <w:r>
        <w:t>ACL lab source: https://docs.google.com/document/d/1eZe4dYC-7_ROjiVVXF4sjuCAnZcmVONxamcFkQr5Ofc/edit?usp=sharing</w:t>
      </w:r>
    </w:p>
    <w:p>
      <w:pPr>
        <w:spacing w:after="0"/>
      </w:pPr>
      <w:r>
        <w:rPr>
          <w:i/>
          <w:sz w:val="16"/>
        </w:rPr>
        <w:t>Validation boundary: Customer behaviour, market size, willingness to pay, adoption, and business value have not been measured; entries above are derived from the supplied training-lab requirements.</w:t>
      </w:r>
    </w:p>
    <w:sectPr w:rsidR="004360B1">
      <w:footerReference w:type="default" r:id="rId11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F3087F2-4F7B-46F6-BADE-FA362528FF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E4658C-D5C8-4BCB-80C0-816BB1AA6CB2}"/>
    <w:embedBold r:id="rId3" w:fontKey="{3B964C4A-898B-4A9E-B401-18DF1F5C40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997D6118-4854-46F7-8F46-143101FF9F4D}"/>
    <w:embedItalic r:id="rId5" w:fontKey="{E7B62C61-CC15-49AC-ABD7-90E11BC567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750A123-0B9B-4667-8CD8-EB0F75C702B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color w:val="606C76"/>
        <w:sz w:val="16"/>
      </w:rPr>
      <w:t xml:space="preserve">Script-Controlled ACL  |  Project Design Phase  |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3</cp:revision>
  <cp:lastPrinted>2025-02-15T04:32:00Z</cp:lastPrinted>
  <dcterms:created xsi:type="dcterms:W3CDTF">2022-10-03T08:04:00Z</dcterms:created>
  <dcterms:modified xsi:type="dcterms:W3CDTF">2025-02-15T04:33:00Z</dcterms:modified>
</cp:coreProperties>
</file>