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2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</w:rPr>
        <w:t>Proposed Solution — ACL Access Control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2 October 2026</w:t>
            </w:r>
          </w:p>
        </w:tc>
      </w:tr>
      <w:tr w:rsidR="00604E29" w14:paraId="7A66939B" w14:textId="77777777">
        <w:tc>
          <w:tcPr>
            <w:tcW w:w="4695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 w:rsidR="00604E29" w14:paraId="0E84FB5D" w14:textId="77777777">
        <w:tc>
          <w:tcPr>
            <w:tcW w:w="4695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Script-Controlled ACL — Branch-Based Record Access</w:t>
            </w:r>
          </w:p>
        </w:tc>
      </w:tr>
      <w:tr w:rsidR="00604E29" w14:paraId="271BDBA3" w14:textId="77777777">
        <w:tc>
          <w:tcPr>
            <w:tcW w:w="4695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— Script-Controlled ACL:</w:t>
      </w:r>
    </w:p>
    <w:p w14:paraId="37C39CAD" w14:textId="77777777" w:rsidR="00604E29" w:rsidRDefault="00000000">
      <w:r>
        <w:t>The project is a ServiceNow instructional configuration for branch-scoped READ access and role-gated record operations. The descriptions below are limited to the supplied lab; they do not claim a production deployment or commercial product.</w:t>
      </w:r>
    </w:p>
    <w:tbl>
      <w:tblPr>
        <w:tblStyle w:val="a0"/>
        <w:tblW w:w="9067" w:type="dxa"/>
        <w:jc w:val="center"/>
        <w:tblBorders>
          <w:top w:val="single" w:sz="6" w:space="0" w:color="B8C6D1"/>
          <w:left w:val="single" w:sz="6" w:space="0" w:color="B8C6D1"/>
          <w:bottom w:val="single" w:sz="6" w:space="0" w:color="B8C6D1"/>
          <w:right w:val="single" w:sz="6" w:space="0" w:color="B8C6D1"/>
          <w:insideH w:val="single" w:sz="6" w:space="0" w:color="B8C6D1"/>
          <w:insideV w:val="single" w:sz="6" w:space="0" w:color="B8C6D1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  <w:cantSplit/>
        </w:trPr>
        <w:tc>
          <w:tcPr>
            <w:tcW w:w="720" w:type="dx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244A67"/>
          </w:tcPr>
          <w:p w14:paraId="665E64AC" w14:textId="77777777" w:rsidR="00604E29" w:rsidRDefault="00000000">
            <w:pPr>
              <w:spacing w:before="0" w:after="0" w:line="240" w:lineRule="auto"/>
              <w:rPr>
                <w:b/>
              </w:rPr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808" w:type="dx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244A67"/>
          </w:tcPr>
          <w:p w14:paraId="4E4913CB" w14:textId="77777777" w:rsidR="00604E29" w:rsidRDefault="00000000">
            <w:pPr>
              <w:spacing w:before="0" w:after="0" w:line="240" w:lineRule="auto"/>
              <w:rPr>
                <w:b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5400" w:type="dx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244A67"/>
          </w:tcPr>
          <w:p w14:paraId="64892F81" w14:textId="77777777" w:rsidR="00604E29" w:rsidRDefault="00000000">
            <w:pPr>
              <w:spacing w:before="0" w:after="0" w:line="240" w:lineRule="auto"/>
              <w:rPr>
                <w:b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604E29" w14:paraId="18A0953A" w14:textId="77777777">
        <w:trPr>
          <w:trHeight w:val="817"/>
          <w:cantSplit/>
        </w:trPr>
        <w:tc>
          <w:tcPr>
            <w:tcW w:w="72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 w:before="0"/>
              <w:ind w:hanging="360"/>
              <w:rPr>
                <w:color w:val="000000"/>
              </w:rPr>
            </w:pPr>
          </w:p>
        </w:tc>
        <w:tc>
          <w:tcPr>
            <w:tcW w:w="280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FF28270" w14:textId="77777777" w:rsidR="00604E29" w:rsidRDefault="00000000">
            <w:pPr>
              <w:spacing w:before="0" w:after="0" w:line="240" w:lineRule="auto"/>
            </w:pPr>
            <w:r>
              <w:rPr>
                <w:color w:val="222222"/>
                <w:sz w:val="17"/>
              </w:rPr>
              <w:t>Problem Statement (Problem to be solved)</w:t>
            </w:r>
          </w:p>
        </w:tc>
        <w:tc>
          <w:tcPr>
            <w:tcW w:w="5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Protect Institution Details (u_institution_details): let authorized EEE users read EEE records while restricting CREATE, WRITE, and DELETE to their designated roles. The lab describes administrator access; verify actual instance behaviour for each operation.</w:t>
            </w:r>
          </w:p>
        </w:tc>
      </w:tr>
      <w:tr w:rsidR="00604E29" w14:paraId="6F005075" w14:textId="77777777">
        <w:trPr>
          <w:trHeight w:val="817"/>
          <w:cantSplit/>
        </w:trPr>
        <w:tc>
          <w:tcPr>
            <w:tcW w:w="72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 w:before="0"/>
              <w:ind w:hanging="360"/>
              <w:rPr>
                <w:color w:val="000000"/>
              </w:rPr>
            </w:pPr>
          </w:p>
        </w:tc>
        <w:tc>
          <w:tcPr>
            <w:tcW w:w="280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E5677B7" w14:textId="77777777" w:rsidR="00604E29" w:rsidRDefault="00000000">
            <w:pPr>
              <w:spacing w:before="0" w:after="0" w:line="240" w:lineRule="auto"/>
            </w:pPr>
            <w:r>
              <w:rPr>
                <w:color w:val="222222"/>
                <w:sz w:val="17"/>
              </w:rPr>
              <w:t>Idea / Solution description</w:t>
            </w:r>
          </w:p>
        </w:tc>
        <w:tc>
          <w:tcPr>
            <w:tcW w:w="5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Configure the custom table with ECE/EEE/CSE Branch values. READ: admin exception or bb1, plus the Branch = EEE data condition. CREATE requires bb2; WRITE requires bb3; DELETE requires bb4. The source specifies no data condition for CREATE/WRITE/DELETE.</w:t>
            </w:r>
          </w:p>
        </w:tc>
      </w:tr>
      <w:tr w:rsidR="00604E29" w14:paraId="58329B4D" w14:textId="77777777">
        <w:trPr>
          <w:trHeight w:val="787"/>
          <w:cantSplit/>
        </w:trPr>
        <w:tc>
          <w:tcPr>
            <w:tcW w:w="72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 w:before="0"/>
              <w:ind w:hanging="360"/>
              <w:rPr>
                <w:color w:val="000000"/>
              </w:rPr>
            </w:pPr>
          </w:p>
        </w:tc>
        <w:tc>
          <w:tcPr>
            <w:tcW w:w="280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CE12A68" w14:textId="77777777" w:rsidR="00604E29" w:rsidRDefault="00000000">
            <w:pPr>
              <w:spacing w:before="0" w:after="0" w:line="240" w:lineRule="auto"/>
            </w:pPr>
            <w:r>
              <w:rPr>
                <w:color w:val="222222"/>
                <w:sz w:val="17"/>
              </w:rPr>
              <w:t xml:space="preserve">Novelty / Uniqueness </w:t>
            </w:r>
          </w:p>
        </w:tc>
        <w:tc>
          <w:tcPr>
            <w:tcW w:w="5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commercial novelty is claimed. The instructional combination is operation-specific roles (bb1–bb4), a Branch = EEE READ filter, and an administrator exception in a ServiceNow ACL lab. Comparison with other implementations was not provided.</w:t>
            </w:r>
          </w:p>
        </w:tc>
      </w:tr>
      <w:tr w:rsidR="00604E29" w14:paraId="3D9C92C5" w14:textId="77777777">
        <w:trPr>
          <w:trHeight w:val="817"/>
          <w:cantSplit/>
        </w:trPr>
        <w:tc>
          <w:tcPr>
            <w:tcW w:w="72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 w:before="0"/>
              <w:ind w:hanging="360"/>
              <w:rPr>
                <w:color w:val="000000"/>
              </w:rPr>
            </w:pPr>
          </w:p>
        </w:tc>
        <w:tc>
          <w:tcPr>
            <w:tcW w:w="280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282EBA1" w14:textId="77777777" w:rsidR="00604E29" w:rsidRDefault="00000000">
            <w:pPr>
              <w:spacing w:before="0" w:after="0" w:line="240" w:lineRule="auto"/>
            </w:pPr>
            <w:r>
              <w:rPr>
                <w:color w:val="222222"/>
                <w:sz w:val="17"/>
              </w:rPr>
              <w:t>Social Impact / Customer Satisfaction</w:t>
            </w:r>
          </w:p>
        </w:tc>
        <w:tc>
          <w:tcPr>
            <w:tcW w:w="5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Intended impact: reduce unauthorized exposure or modification of institution records and give authorized EEE users predictable, branch-scoped reads. This is a security goal; no impact study or satisfaction evidence was supplied.</w:t>
            </w:r>
          </w:p>
        </w:tc>
      </w:tr>
      <w:tr w:rsidR="00604E29" w14:paraId="67441115" w14:textId="77777777">
        <w:trPr>
          <w:trHeight w:val="817"/>
          <w:cantSplit/>
        </w:trPr>
        <w:tc>
          <w:tcPr>
            <w:tcW w:w="72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 w:before="0"/>
              <w:ind w:hanging="360"/>
              <w:rPr>
                <w:color w:val="000000"/>
              </w:rPr>
            </w:pPr>
          </w:p>
        </w:tc>
        <w:tc>
          <w:tcPr>
            <w:tcW w:w="280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7E95CC0" w14:textId="77777777" w:rsidR="00604E29" w:rsidRDefault="00000000">
            <w:pPr>
              <w:spacing w:before="0" w:after="0" w:line="240" w:lineRule="auto"/>
            </w:pPr>
            <w:r>
              <w:rPr>
                <w:color w:val="222222"/>
                <w:sz w:val="17"/>
              </w:rPr>
              <w:t>Business Model (Revenue Model)</w:t>
            </w:r>
          </w:p>
        </w:tc>
        <w:tc>
          <w:tcPr>
            <w:tcW w:w="5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specified. The source describes a three-hour educational lab, not a product/service, customer contract, pricing, or revenue model. Treat this as a learning exercise rather than a commercial venture proposal.</w:t>
            </w:r>
          </w:p>
        </w:tc>
      </w:tr>
      <w:tr w:rsidR="00604E29" w14:paraId="2ECBCEA1" w14:textId="77777777">
        <w:trPr>
          <w:trHeight w:val="817"/>
          <w:cantSplit/>
        </w:trPr>
        <w:tc>
          <w:tcPr>
            <w:tcW w:w="72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 w:before="0"/>
              <w:ind w:hanging="360"/>
              <w:rPr>
                <w:color w:val="000000"/>
              </w:rPr>
            </w:pPr>
          </w:p>
        </w:tc>
        <w:tc>
          <w:tcPr>
            <w:tcW w:w="2808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4EBFC13" w14:textId="77777777" w:rsidR="00604E29" w:rsidRDefault="00000000">
            <w:pPr>
              <w:spacing w:before="0" w:after="0" w:line="240" w:lineRule="auto"/>
              <w:rPr>
                <w:color w:val="222222"/>
              </w:rPr>
            </w:pPr>
            <w:r>
              <w:rPr>
                <w:color w:val="222222"/>
                <w:sz w:val="17"/>
              </w:rPr>
              <w:t>Scalability of the Solution</w:t>
            </w:r>
          </w:p>
        </w:tc>
        <w:tc>
          <w:tcPr>
            <w:tcW w:w="5400" w:type="dx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pattern could be extended to additional tables, branches, roles, or operations, subject to design and testing. The source defines one table and three branches; deployment scale, performance, and operational readiness are untested.</w:t>
            </w:r>
          </w:p>
        </w:tc>
      </w:tr>
    </w:tbl>
    <w:p w14:paraId="5BC2B474" w14:textId="77777777" w:rsidR="00604E29" w:rsidRDefault="00604E29"/>
    <w:p>
      <w:pPr>
        <w:spacing w:before="80" w:after="0"/>
      </w:pPr>
      <w:r>
        <w:rPr>
          <w:i/>
          <w:sz w:val="16"/>
        </w:rPr>
        <w:t>Source and scope: based on the user-supplied ACL lab; no customer validation, commercial differentiation, or production deployment evidence was provided.</w:t>
      </w:r>
    </w:p>
    <w:sectPr w:rsidR="00604E29">
      <w:footerReference w:type="default" r:id="rId8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color w:val="606C76"/>
        <w:sz w:val="16"/>
      </w:rPr>
      <w:t xml:space="preserve">Script-Controlled ACL  |  Project Design Phase  |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