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2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</w:rPr>
        <w:t>Solution Architecture — ACL Access Control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  <w:tcMar>
              <w:top w:w="45" w:type="dxa"/>
              <w:start w:w="80" w:type="dxa"/>
              <w:bottom w:w="45" w:type="dxa"/>
              <w:end w:w="80" w:type="dxa"/>
            </w:tcMar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2 October 2026</w:t>
            </w:r>
          </w:p>
        </w:tc>
      </w:tr>
      <w:tr w:rsidR="00E370AF" w14:paraId="189E08C9" w14:textId="77777777">
        <w:tc>
          <w:tcPr>
            <w:tcW w:w="4508" w:type="dxa"/>
            <w:tcMar>
              <w:top w:w="45" w:type="dxa"/>
              <w:start w:w="80" w:type="dxa"/>
              <w:bottom w:w="45" w:type="dxa"/>
              <w:end w:w="80" w:type="dxa"/>
            </w:tcMar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</w:r>
          </w:p>
        </w:tc>
      </w:tr>
      <w:tr w:rsidR="00E370AF" w14:paraId="7247E3F4" w14:textId="77777777">
        <w:tc>
          <w:tcPr>
            <w:tcW w:w="4508" w:type="dxa"/>
            <w:tcMar>
              <w:top w:w="45" w:type="dxa"/>
              <w:start w:w="80" w:type="dxa"/>
              <w:bottom w:w="45" w:type="dxa"/>
              <w:end w:w="80" w:type="dxa"/>
            </w:tcMar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Script-Controlled ACL — Branch-Based Record Access</w:t>
            </w:r>
          </w:p>
        </w:tc>
      </w:tr>
      <w:tr w:rsidR="00E370AF" w14:paraId="6D6CFC5F" w14:textId="77777777">
        <w:tc>
          <w:tcPr>
            <w:tcW w:w="4508" w:type="dxa"/>
            <w:tcMar>
              <w:top w:w="45" w:type="dxa"/>
              <w:start w:w="80" w:type="dxa"/>
              <w:bottom w:w="45" w:type="dxa"/>
              <w:end w:w="80" w:type="dxa"/>
            </w:tcMar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  <w:vAlign w:val="center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</w:pPr>
            <w:r/>
            <w:r>
              <w:rPr>
                <w:b w:val="0"/>
                <w:sz w:val="18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b/>
        </w:rPr>
        <w:t>Solution Architecture: Script-Controlled Record ACLs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t>The architecture places ServiceNow record ACL evaluation between user-facing interfaces and the Institution Details table. Each table operation is checked against its configured role; READ also uses the Branch = EEE data condition and the administrator exception described in the lab.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sz w:val="18"/>
        </w:rPr>
        <w:t>Enforce access at the record-ACL layer for each requested table operation.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sz w:val="18"/>
        </w:rPr>
        <w:t>Separate the branch-scoped READ condition from the CREATE, WRITE, and DELETE role gates.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sz w:val="18"/>
        </w:rPr>
        <w:t>Represent the user roles and branch values explicitly so allowed and denied outcomes can be tested.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sz w:val="18"/>
        </w:rPr>
        <w:t>Validate requests through ServiceNow lists/forms and, where enabled, Service Portal; the source does not document a production deployment.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pageBreakBefore w:val="0"/>
        <w:rPr>
          <w:b/>
        </w:rPr>
      </w:pPr>
      <w:r>
        <w:rPr>
          <w:b/>
        </w:rPr>
        <w:t>ACL architecture and access flow: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keepLines/>
        <w:tabs>
          <w:tab w:val="left" w:pos="5529"/>
        </w:tabs>
        <w:spacing w:before="40" w:after="40"/>
        <w:jc w:val="center"/>
        <w:rPr>
          <w:b/>
        </w:rPr>
      </w:pPr>
      <w:r>
        <w:drawing>
          <wp:inline xmlns:a="http://schemas.openxmlformats.org/drawingml/2006/main" xmlns:pic="http://schemas.openxmlformats.org/drawingml/2006/picture">
            <wp:extent cx="5303520" cy="32773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l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730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jc w:val="center"/>
        <w:rPr>
          <w:b/>
        </w:rPr>
      </w:pPr>
      <w:r>
        <w:rPr>
          <w:i/>
          <w:sz w:val="16"/>
        </w:rPr>
        <w:t>Figure 1. ServiceNow ACL flow and operation-specific role gates (based on the supplied lab).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6D1"/>
          <w:left w:val="single" w:sz="6" w:space="0" w:color="B8C6D1"/>
          <w:bottom w:val="single" w:sz="6" w:space="0" w:color="B8C6D1"/>
          <w:right w:val="single" w:sz="6" w:space="0" w:color="B8C6D1"/>
          <w:insideH w:val="single" w:sz="6" w:space="0" w:color="B8C6D1"/>
          <w:insideV w:val="single" w:sz="6" w:space="0" w:color="B8C6D1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2232"/>
            <w:vAlign w:val="center"/>
            <w:shd w:fill="244A6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6696"/>
            <w:vAlign w:val="center"/>
            <w:shd w:fill="244A6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Responsibility / configuration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Actors and roles</w:t>
            </w:r>
          </w:p>
        </w:tc>
        <w:tc>
          <w:tcPr>
            <w:tcW w:type="dxa" w:w="66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Administrator and EEE test user; custom roles bb1 (READ), bb2 (CREATE), bb3 (WRITE), and bb4 (DELETE). The source says all four roles are assigned to its EEE User.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ServiceNow interface</w:t>
            </w:r>
          </w:p>
        </w:tc>
        <w:tc>
          <w:tcPr>
            <w:tcW w:type="dxa" w:w="66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Lists and forms are used in the lab; Service Portal is named in the outcome. Every enabled entry point should be checked against the same ACL policy.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Record ACL engine</w:t>
            </w:r>
          </w:p>
        </w:tc>
        <w:tc>
          <w:tcPr>
            <w:tcW w:type="dxa" w:w="66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Evaluates the operation-specific ACL. The READ ACL is advanced, active, and uses both a required role/script and a separate Branch = EEE data condition.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Protected table</w:t>
            </w:r>
          </w:p>
        </w:tc>
        <w:tc>
          <w:tcPr>
            <w:tcW w:type="dxa" w:w="66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Label: Institution Details. Name: u_institution_details. Seed records use Branch values ECE, EEE, and CSE.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Decision result</w:t>
            </w:r>
          </w:p>
        </w:tc>
        <w:tc>
          <w:tcPr>
            <w:tcW w:type="dxa" w:w="66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 permitted operation proceeds to the record; a failed authorization check denies the request. The source describes viewing/creating/editing/deleting verification, not logging or monitoring components.</w:t>
            </w:r>
          </w:p>
        </w:tc>
      </w:tr>
    </w:tbl>
    <w:p>
      <w:pPr>
        <w:pStyle w:val="Heading2"/>
        <w:pageBreakBefore w:val="0"/>
      </w:pPr>
      <w:r>
        <w:t>Operation-level ACL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6D1"/>
          <w:left w:val="single" w:sz="6" w:space="0" w:color="B8C6D1"/>
          <w:bottom w:val="single" w:sz="6" w:space="0" w:color="B8C6D1"/>
          <w:right w:val="single" w:sz="6" w:space="0" w:color="B8C6D1"/>
          <w:insideH w:val="single" w:sz="6" w:space="0" w:color="B8C6D1"/>
          <w:insideV w:val="single" w:sz="6" w:space="0" w:color="B8C6D1"/>
        </w:tblBorders>
      </w:tblPr>
      <w:tblGrid>
        <w:gridCol w:w="3009"/>
        <w:gridCol w:w="3009"/>
        <w:gridCol w:w="3009"/>
      </w:tblGrid>
      <w:tr>
        <w:trPr>
          <w:cantSplit/>
        </w:trPr>
        <w:tc>
          <w:tcPr>
            <w:tcW w:type="dxa" w:w="1152"/>
            <w:vAlign w:val="center"/>
            <w:shd w:fill="244A6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Operation</w:t>
            </w:r>
          </w:p>
        </w:tc>
        <w:tc>
          <w:tcPr>
            <w:tcW w:type="dxa" w:w="3600"/>
            <w:vAlign w:val="center"/>
            <w:shd w:fill="244A6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ACL rule from lab</w:t>
            </w:r>
          </w:p>
        </w:tc>
        <w:tc>
          <w:tcPr>
            <w:tcW w:type="dxa" w:w="4176"/>
            <w:vAlign w:val="center"/>
            <w:shd w:fill="244A6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color w:val="FFFFFF"/>
                <w:sz w:val="16"/>
              </w:rPr>
              <w:t>Verification interpretation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READ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Admin exception; otherwise bb1 script check plus data condition Branch = EEE.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EEE user sees EEE rows; non-bb1 sees none; admin sees all branches (per lab description).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CREATE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Required role bb2; no data condition specified.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Source checks New/create with the stated role combination; validate positive and negative role cases.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WRITE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Required role bb3; no data condition specified.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Source checks editing with bb1+bb2+bb3; branch-only write filtering is not specified by this ACL.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DELETE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Required role bb4; no data condition specified.</w:t>
            </w:r>
          </w:p>
        </w:tc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</w:r>
            <w:r>
              <w:rPr>
                <w:b w:val="0"/>
                <w:sz w:val="16"/>
              </w:rPr>
              <w:t>Source checks deletion with bb1+bb2+bb3+bb4; branch-only delete filtering is not specified by this ACL.</w:t>
            </w:r>
          </w:p>
        </w:tc>
      </w:tr>
    </w:tbl>
    <w:p>
      <w:pPr>
        <w:pStyle w:val="Heading2"/>
      </w:pPr>
      <w:r>
        <w:t>Table schema and verification notes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6D1"/>
          <w:left w:val="single" w:sz="6" w:space="0" w:color="B8C6D1"/>
          <w:bottom w:val="single" w:sz="6" w:space="0" w:color="B8C6D1"/>
          <w:right w:val="single" w:sz="6" w:space="0" w:color="B8C6D1"/>
          <w:insideH w:val="single" w:sz="6" w:space="0" w:color="B8C6D1"/>
          <w:insideV w:val="single" w:sz="6" w:space="0" w:color="B8C6D1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3096"/>
            <w:vAlign w:val="center"/>
            <w:shd w:fill="244A6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832"/>
            <w:vAlign w:val="center"/>
            <w:shd w:fill="244A6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Type / values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Student Roll Number</w:t>
            </w:r>
          </w:p>
        </w:tc>
        <w:tc>
          <w:tcPr>
            <w:tcW w:type="dxa" w:w="58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Auto Number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Student Name</w:t>
            </w:r>
          </w:p>
        </w:tc>
        <w:tc>
          <w:tcPr>
            <w:tcW w:type="dxa" w:w="58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Reference — User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Faculty Name</w:t>
            </w:r>
          </w:p>
        </w:tc>
        <w:tc>
          <w:tcPr>
            <w:tcW w:type="dxa" w:w="58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Reference — User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Branch</w:t>
            </w:r>
          </w:p>
        </w:tc>
        <w:tc>
          <w:tcPr>
            <w:tcW w:type="dxa" w:w="58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Choice — ECE, EEE, CSE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Email</w:t>
            </w:r>
          </w:p>
        </w:tc>
        <w:tc>
          <w:tcPr>
            <w:tcW w:type="dxa" w:w="58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String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Phone Number</w:t>
            </w:r>
          </w:p>
        </w:tc>
        <w:tc>
          <w:tcPr>
            <w:tcW w:type="dxa" w:w="58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String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Description</w:t>
            </w:r>
          </w:p>
        </w:tc>
        <w:tc>
          <w:tcPr>
            <w:tcW w:type="dxa" w:w="58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Multi String</w:t>
            </w:r>
          </w:p>
        </w:tc>
      </w:tr>
    </w:tbl>
    <w:p>
      <w:pPr>
        <w:spacing w:after="0"/>
      </w:pPr>
      <w:r>
        <w:rPr>
          <w:b/>
          <w:sz w:val="16"/>
        </w:rPr>
        <w:t xml:space="preserve">Implementation and test notes — </w:t>
      </w:r>
      <w:r>
        <w:rPr>
          <w:sz w:val="16"/>
        </w:rPr>
        <w:t>Role setup: the source assigns bb1–bb4 to EEE User but tests cumulative role sets; use separate test accounts or vary roles to isolate permissions. READ: test ECE/EEE/CSE; Branch = EEE is a separate condition for non-admin reads. CREATE/WRITE/DELETE: no data condition is specified, so do not infer EEE-only limits. Admin access is stated and explicit for READ; verify admin behavior for other operations.</w:t>
      </w:r>
    </w:p>
    <w:sectPr w:rsidR="00E370AF">
      <w:footerReference w:type="default" r:id="rId11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/>
      <w:jc w:val="center"/>
    </w:pPr>
    <w:r>
      <w:rPr>
        <w:color w:val="606C76"/>
        <w:sz w:val="16"/>
      </w:rPr>
      <w:t xml:space="preserve">Script-Controlled ACL  |  Project Design Phase  |  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