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000000"/>
          <w:sz w:val="40"/>
        </w:rPr>
        <w:t>RealEstate360+ Thesis Test Case Checklist</w:t>
      </w:r>
    </w:p>
    <w:p>
      <w:pPr>
        <w:spacing w:before="0" w:after="200"/>
      </w:pPr>
      <w:r>
        <w:rPr>
          <w:rFonts w:ascii="Calibri" w:hAnsi="Calibri"/>
          <w:color w:val="555555"/>
          <w:sz w:val="22"/>
        </w:rPr>
        <w:t>Coverage for tenant operations, billing, payments, maintenance, announcements, admin review, and support analytics.</w:t>
      </w:r>
    </w:p>
    <w:p>
      <w:pPr>
        <w:spacing w:after="80"/>
      </w:pPr>
      <w:r>
        <w:rPr>
          <w:rFonts w:ascii="Calibri" w:hAnsi="Calibri"/>
          <w:b/>
          <w:sz w:val="20"/>
        </w:rPr>
        <w:t xml:space="preserve">Document: </w:t>
      </w:r>
      <w:r>
        <w:rPr>
          <w:rFonts w:ascii="Calibri" w:hAnsi="Calibri"/>
          <w:sz w:val="20"/>
        </w:rPr>
        <w:t xml:space="preserve">Test case checklist    </w:t>
      </w:r>
      <w:r>
        <w:rPr>
          <w:rFonts w:ascii="Calibri" w:hAnsi="Calibri"/>
          <w:b/>
          <w:sz w:val="20"/>
        </w:rPr>
        <w:t xml:space="preserve">Project: </w:t>
      </w:r>
      <w:r>
        <w:rPr>
          <w:rFonts w:ascii="Calibri" w:hAnsi="Calibri"/>
          <w:sz w:val="20"/>
        </w:rPr>
        <w:t xml:space="preserve">RealEstate360+    </w:t>
      </w:r>
      <w:r>
        <w:rPr>
          <w:rFonts w:ascii="Calibri" w:hAnsi="Calibri"/>
          <w:b/>
          <w:sz w:val="20"/>
        </w:rPr>
        <w:t xml:space="preserve">Prepared: </w:t>
      </w:r>
      <w:r>
        <w:rPr>
          <w:rFonts w:ascii="Calibri" w:hAnsi="Calibri"/>
          <w:sz w:val="20"/>
        </w:rPr>
        <w:t xml:space="preserve">May 30, 2026    </w:t>
      </w:r>
      <w:r>
        <w:rPr>
          <w:rFonts w:ascii="Calibri" w:hAnsi="Calibri"/>
          <w:b/>
          <w:sz w:val="20"/>
        </w:rPr>
        <w:t xml:space="preserve">Scope: </w:t>
      </w:r>
      <w:r>
        <w:rPr>
          <w:rFonts w:ascii="Calibri" w:hAnsi="Calibri"/>
          <w:sz w:val="20"/>
        </w:rPr>
        <w:t xml:space="preserve">Tenant and admin workflows    </w:t>
      </w:r>
    </w:p>
    <w:p>
      <w:pPr>
        <w:pStyle w:val="Heading1"/>
      </w:pPr>
      <w:r>
        <w:t>Checklist Overview</w:t>
      </w:r>
    </w:p>
    <w:p>
      <w:r>
        <w:t>Use this checklist to verify that the system behaves like a property management platform first, with SARIMA, Random Forest, and NLP treated as decision-support modules only.</w:t>
      </w:r>
    </w:p>
    <w:p>
      <w:r>
        <w:t>Mark each item Pass or Fail during validation. If a case fails, record the affected module and the fix applied before final thesis submission.</w:t>
      </w:r>
    </w:p>
    <w:p>
      <w:r>
        <w:rPr>
          <w:b/>
        </w:rPr>
        <w:t xml:space="preserve">Recommended order: </w:t>
      </w:r>
      <w:r>
        <w:t>authentication, tenant setup, lease assignment, billing, payment approval, maintenance, notifications, admin review, analytics labeling, and UI sanity checks.</w:t>
      </w:r>
    </w:p>
    <w:p>
      <w:pPr>
        <w:pStyle w:val="Heading1"/>
      </w:pPr>
      <w:r>
        <w:t>Test Case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92"/>
        <w:gridCol w:w="1512"/>
        <w:gridCol w:w="3528"/>
        <w:gridCol w:w="2880"/>
        <w:gridCol w:w="648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 Case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Access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Log in as an admin user.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Admin dashboard opens with admin navigation and no tenant-only restrictions.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Access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Log in as a tenant user.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Tenant dashboard opens with tenant navigation and current billing summary.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Tenant Records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Create a tenant profile and link it to a user account.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Tenant profile saves with the correct full name, contact number, and role linkage.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Unit / Lease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Assign a unit and create an active lease.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unit becomes occupied and the lease appears in tenant/admin records.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Lease Lifecycle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Activate a lease after move-in payment approval.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Lease status changes to active and the tenant can access billing.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TC-06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Billing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Generate the monthly bill for an active lease.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Rent, parking, water, and late fee values appear correctly for the billing month.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Billing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Open the tenant billing page for a contract month already paid.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selected month still shows the paid bill instead of a blank or next-month placeholder.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TC-08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Billing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Review the billing table across contract months.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Each month shows Paid, Partially Paid, Unpaid, or Upcoming as appropriate.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TC-09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Submit an advance payment from the tenant portal.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payment defaults to rent-only and excludes water from the advance amount.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Attempt to force a full payment in advance mode.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system keeps the transaction as rent-only and does not present full-payment behavior.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Approve a rent-only payment in admin review.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Rent and parking are settled while any water balance remains open.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Approve a water-only payment after rent and parking were already paid.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Only the water balance is marked paid and the record is labeled water-only.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Review a historical advance payment that had been marked as full.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admin can relabel it to rent-only without changing the bill balance.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Open payment history in the tenant dashboard.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list shows the correct bill reference and payment timestamp for approved records.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Open the admin payment queue.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Tenant names display as full names and the affected month column shows the paid month(s).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TC-16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Open the admin payment detail page.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detail view shows the correct bills covered, amounts, and payment type controls.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Water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Post water for a month after rent has already been settled.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dashboard exposes the remaining water-only balance instead of merging it into a full bill.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TC-18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Water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Pay a delayed water bill from the locked water-only flow.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payment redirects correctly and the bill becomes fully settled after approval.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TC-19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Maintenance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Submit a maintenance request as a tenant.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request is saved and visible to the admin with the expected status.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TC-20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Maintenance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Classify a maintenance request in admin review.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category or NLP label is recorded without affecting billing data.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TC-21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Announcements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Create and publish an announcement as admin.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announcement appears on the tenant dashboard and announcement list.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TC-22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Trigger a payment or maintenance notification.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notification is delivered to the correct user role and can be marked read.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TC-23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Audit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Verify payment references in admin history.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generated reference number is visible and can be traced to the transaction.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TC-24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Analytics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Open forecasting or ML support views.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SARIMA, Random Forest, and NLP outputs are labeled as support tools, not the main system identity.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TC-25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UX / Safety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Load tenant and admin pages on mobile width.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sz w:val="19"/>
              </w:rPr>
              <w:t>The main tables, labels, and action buttons remain readable without overlap or clipping.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sz w:val="24"/>
              </w:rPr>
              <w:t>?</w:t>
            </w:r>
          </w:p>
        </w:tc>
      </w:tr>
    </w:tbl>
    <w:p>
      <w:pPr>
        <w:pStyle w:val="Heading1"/>
      </w:pPr>
      <w:r>
        <w:t>Completion Criteria</w:t>
      </w:r>
    </w:p>
    <w:p>
      <w:r>
        <w:t>All critical billing and payment cases must pass before thesis submission.</w:t>
      </w:r>
    </w:p>
    <w:p>
      <w:r>
        <w:t>Any failed case must be corrected and re-checked before the document is treated as final.</w:t>
      </w:r>
    </w:p>
    <w:p>
      <w:r>
        <w:t>If a case affects accounting, the bill and payment history must remain consistent after the change.</w:t>
      </w:r>
    </w:p>
    <w:p>
      <w:pPr>
        <w:spacing w:before="120" w:after="0"/>
      </w:pPr>
      <w:r>
        <w:rPr>
          <w:rFonts w:ascii="Calibri" w:hAnsi="Calibri"/>
          <w:i/>
          <w:color w:val="555555"/>
          <w:sz w:val="19"/>
        </w:rPr>
        <w:t>Prepared for thesis validation on May 30, 2026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