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B4AE" w14:textId="77777777" w:rsidR="00FA7F86" w:rsidRDefault="00FA7F86">
      <w:pPr>
        <w:spacing w:line="360" w:lineRule="auto"/>
        <w:rPr>
          <w:rFonts w:ascii="Google Sans" w:eastAsia="Google Sans" w:hAnsi="Google Sans" w:cs="Google Sans"/>
          <w:sz w:val="24"/>
          <w:szCs w:val="24"/>
        </w:rPr>
      </w:pPr>
    </w:p>
    <w:p w14:paraId="43013E18" w14:textId="1F8C330C" w:rsidR="00FA7F86" w:rsidRDefault="00000000">
      <w:pPr>
        <w:pStyle w:val="Heading1"/>
        <w:spacing w:line="360" w:lineRule="auto"/>
        <w:rPr>
          <w:rFonts w:ascii="Google Sans" w:eastAsia="Google Sans" w:hAnsi="Google Sans" w:cs="Google Sans"/>
        </w:rPr>
      </w:pPr>
      <w:bookmarkStart w:id="0" w:name="_crlgmap8ym05" w:colFirst="0" w:colLast="0"/>
      <w:bookmarkEnd w:id="0"/>
      <w:r>
        <w:t xml:space="preserve">    </w:t>
      </w:r>
      <w:r w:rsidR="008174C7" w:rsidRPr="008174C7">
        <w:rPr>
          <w:b/>
          <w:bCs/>
          <w:noProof/>
          <w:sz w:val="72"/>
          <w:szCs w:val="72"/>
        </w:rPr>
        <w:t>KZM</w:t>
      </w:r>
      <w:r w:rsidRPr="008174C7">
        <w:rPr>
          <w:b/>
          <w:bCs/>
          <w:sz w:val="72"/>
          <w:szCs w:val="72"/>
        </w:rPr>
        <w:t xml:space="preserve"> </w:t>
      </w:r>
      <w:r>
        <w:t xml:space="preserve">      </w:t>
      </w:r>
      <w:r>
        <w:rPr>
          <w:rFonts w:ascii="Google Sans" w:eastAsia="Google Sans" w:hAnsi="Google Sans" w:cs="Google Sans"/>
        </w:rPr>
        <w:t>Security Incident Report</w:t>
      </w:r>
    </w:p>
    <w:p w14:paraId="21B7F21E" w14:textId="77777777" w:rsidR="00FA7F86" w:rsidRDefault="00FA7F86">
      <w:pPr>
        <w:widowControl w:val="0"/>
        <w:spacing w:line="360" w:lineRule="auto"/>
        <w:rPr>
          <w:sz w:val="20"/>
          <w:szCs w:val="20"/>
        </w:rPr>
      </w:pPr>
    </w:p>
    <w:p w14:paraId="28D022BF" w14:textId="77777777" w:rsidR="00FA7F86" w:rsidRDefault="00000000">
      <w:pPr>
        <w:pStyle w:val="Heading3"/>
        <w:spacing w:before="120" w:line="360" w:lineRule="auto"/>
        <w:rPr>
          <w:rFonts w:ascii="Google Sans" w:eastAsia="Google Sans" w:hAnsi="Google Sans" w:cs="Google Sans"/>
          <w:b/>
        </w:rPr>
      </w:pPr>
      <w:bookmarkStart w:id="1" w:name="_u17i2fv460ug" w:colFirst="0" w:colLast="0"/>
      <w:bookmarkEnd w:id="1"/>
      <w:r>
        <w:rPr>
          <w:rFonts w:ascii="Google Sans" w:eastAsia="Google Sans" w:hAnsi="Google Sans" w:cs="Google Sans"/>
          <w:b/>
        </w:rPr>
        <w:t>Table of contents</w:t>
      </w:r>
    </w:p>
    <w:sdt>
      <w:sdtPr>
        <w:id w:val="302821616"/>
        <w:docPartObj>
          <w:docPartGallery w:val="Table of Contents"/>
          <w:docPartUnique/>
        </w:docPartObj>
      </w:sdtPr>
      <w:sdtContent>
        <w:p w14:paraId="53D1B58E" w14:textId="77777777" w:rsidR="00FA7F86" w:rsidRDefault="00000000">
          <w:pPr>
            <w:widowControl w:val="0"/>
            <w:tabs>
              <w:tab w:val="right" w:pos="12000"/>
            </w:tabs>
            <w:spacing w:before="60" w:line="240" w:lineRule="auto"/>
            <w:rPr>
              <w:color w:val="1155CC"/>
              <w:u w:val="single"/>
            </w:rPr>
          </w:pPr>
          <w:r>
            <w:fldChar w:fldCharType="begin"/>
          </w:r>
          <w:r>
            <w:instrText xml:space="preserve"> TOC \h \u \z \t "Heading 1,1,Heading 2,2,Heading 3,3,Heading 4,4,Heading 5,5,Heading 6,6,"</w:instrText>
          </w:r>
          <w:r>
            <w:fldChar w:fldCharType="separate"/>
          </w:r>
          <w:hyperlink w:anchor="_crlgmap8ym05">
            <w:r>
              <w:rPr>
                <w:color w:val="1155CC"/>
                <w:u w:val="single"/>
              </w:rPr>
              <w:t>Security Incident Report</w:t>
            </w:r>
            <w:r>
              <w:rPr>
                <w:color w:val="1155CC"/>
                <w:u w:val="single"/>
              </w:rPr>
              <w:tab/>
              <w:t>1</w:t>
            </w:r>
          </w:hyperlink>
        </w:p>
        <w:p w14:paraId="2F2EDCF5" w14:textId="77777777" w:rsidR="00FA7F86" w:rsidRDefault="00000000">
          <w:pPr>
            <w:widowControl w:val="0"/>
            <w:tabs>
              <w:tab w:val="right" w:pos="12000"/>
            </w:tabs>
            <w:spacing w:before="60" w:line="240" w:lineRule="auto"/>
            <w:ind w:left="720"/>
            <w:rPr>
              <w:color w:val="1155CC"/>
              <w:u w:val="single"/>
            </w:rPr>
          </w:pPr>
          <w:hyperlink w:anchor="_u17i2fv460ug">
            <w:r>
              <w:rPr>
                <w:color w:val="1155CC"/>
                <w:u w:val="single"/>
              </w:rPr>
              <w:t>Table of contents</w:t>
            </w:r>
            <w:r>
              <w:rPr>
                <w:color w:val="1155CC"/>
                <w:u w:val="single"/>
              </w:rPr>
              <w:tab/>
              <w:t>1</w:t>
            </w:r>
          </w:hyperlink>
        </w:p>
        <w:p w14:paraId="33DF6AB6" w14:textId="77777777" w:rsidR="00FA7F86" w:rsidRDefault="00000000">
          <w:pPr>
            <w:widowControl w:val="0"/>
            <w:tabs>
              <w:tab w:val="right" w:pos="12000"/>
            </w:tabs>
            <w:spacing w:before="60" w:line="240" w:lineRule="auto"/>
            <w:rPr>
              <w:color w:val="1155CC"/>
              <w:u w:val="single"/>
            </w:rPr>
          </w:pPr>
          <w:hyperlink w:anchor="_c8wmvmx6j3to">
            <w:r>
              <w:rPr>
                <w:color w:val="1155CC"/>
                <w:u w:val="single"/>
              </w:rPr>
              <w:t>Executive summary</w:t>
            </w:r>
            <w:r>
              <w:rPr>
                <w:color w:val="1155CC"/>
                <w:u w:val="single"/>
              </w:rPr>
              <w:tab/>
              <w:t>2</w:t>
            </w:r>
          </w:hyperlink>
        </w:p>
        <w:p w14:paraId="1D0D9B71" w14:textId="77777777" w:rsidR="00FA7F86" w:rsidRDefault="00000000">
          <w:pPr>
            <w:widowControl w:val="0"/>
            <w:tabs>
              <w:tab w:val="right" w:pos="12000"/>
            </w:tabs>
            <w:spacing w:before="60" w:line="240" w:lineRule="auto"/>
            <w:rPr>
              <w:color w:val="1155CC"/>
              <w:u w:val="single"/>
            </w:rPr>
          </w:pPr>
          <w:hyperlink w:anchor="_sgg8djay179y">
            <w:r>
              <w:rPr>
                <w:color w:val="1155CC"/>
                <w:u w:val="single"/>
              </w:rPr>
              <w:t>Investigation</w:t>
            </w:r>
            <w:r>
              <w:rPr>
                <w:color w:val="1155CC"/>
                <w:u w:val="single"/>
              </w:rPr>
              <w:tab/>
              <w:t>3</w:t>
            </w:r>
          </w:hyperlink>
        </w:p>
        <w:p w14:paraId="2E10F0EE" w14:textId="77777777" w:rsidR="00FA7F86" w:rsidRDefault="00000000">
          <w:pPr>
            <w:widowControl w:val="0"/>
            <w:tabs>
              <w:tab w:val="right" w:pos="12000"/>
            </w:tabs>
            <w:spacing w:before="60" w:line="240" w:lineRule="auto"/>
            <w:rPr>
              <w:color w:val="1155CC"/>
              <w:u w:val="single"/>
            </w:rPr>
          </w:pPr>
          <w:hyperlink w:anchor="_bgoc8vygd0dj">
            <w:r>
              <w:rPr>
                <w:color w:val="1155CC"/>
                <w:u w:val="single"/>
              </w:rPr>
              <w:t>Response and remediation</w:t>
            </w:r>
            <w:r>
              <w:rPr>
                <w:color w:val="1155CC"/>
                <w:u w:val="single"/>
              </w:rPr>
              <w:tab/>
              <w:t>4</w:t>
            </w:r>
          </w:hyperlink>
        </w:p>
        <w:p w14:paraId="5AF79AC0" w14:textId="77777777" w:rsidR="00FA7F86" w:rsidRDefault="00000000">
          <w:pPr>
            <w:widowControl w:val="0"/>
            <w:tabs>
              <w:tab w:val="right" w:pos="12000"/>
            </w:tabs>
            <w:spacing w:before="60" w:line="240" w:lineRule="auto"/>
            <w:ind w:left="720"/>
            <w:rPr>
              <w:color w:val="1155CC"/>
              <w:u w:val="single"/>
            </w:rPr>
          </w:pPr>
          <w:hyperlink w:anchor="_kyhxcqk3n5c5">
            <w:r>
              <w:rPr>
                <w:color w:val="1155CC"/>
                <w:u w:val="single"/>
              </w:rPr>
              <w:t xml:space="preserve">Containment and </w:t>
            </w:r>
          </w:hyperlink>
          <w:hyperlink w:anchor="_kyhxcqk3n5c5">
            <w:r>
              <w:rPr>
                <w:color w:val="1155CC"/>
                <w:u w:val="single"/>
              </w:rPr>
              <w:t>e</w:t>
            </w:r>
          </w:hyperlink>
          <w:hyperlink w:anchor="_kyhxcqk3n5c5">
            <w:r>
              <w:rPr>
                <w:color w:val="1155CC"/>
                <w:u w:val="single"/>
              </w:rPr>
              <w:t xml:space="preserve">radication </w:t>
            </w:r>
          </w:hyperlink>
          <w:hyperlink w:anchor="_kyhxcqk3n5c5">
            <w:r>
              <w:rPr>
                <w:color w:val="1155CC"/>
                <w:u w:val="single"/>
              </w:rPr>
              <w:t>m</w:t>
            </w:r>
          </w:hyperlink>
          <w:hyperlink w:anchor="_kyhxcqk3n5c5">
            <w:r>
              <w:rPr>
                <w:color w:val="1155CC"/>
                <w:u w:val="single"/>
              </w:rPr>
              <w:t>easures</w:t>
            </w:r>
            <w:r>
              <w:rPr>
                <w:color w:val="1155CC"/>
                <w:u w:val="single"/>
              </w:rPr>
              <w:tab/>
              <w:t>4</w:t>
            </w:r>
          </w:hyperlink>
        </w:p>
        <w:p w14:paraId="67F88BBE" w14:textId="77777777" w:rsidR="00FA7F86" w:rsidRDefault="00000000">
          <w:pPr>
            <w:widowControl w:val="0"/>
            <w:tabs>
              <w:tab w:val="right" w:pos="12000"/>
            </w:tabs>
            <w:spacing w:before="60" w:line="240" w:lineRule="auto"/>
            <w:ind w:left="720"/>
            <w:rPr>
              <w:color w:val="1155CC"/>
              <w:u w:val="single"/>
            </w:rPr>
          </w:pPr>
          <w:hyperlink w:anchor="_givq0r4a9hwr">
            <w:r>
              <w:rPr>
                <w:color w:val="1155CC"/>
                <w:u w:val="single"/>
              </w:rPr>
              <w:t xml:space="preserve">Recovery </w:t>
            </w:r>
          </w:hyperlink>
          <w:hyperlink w:anchor="_givq0r4a9hwr">
            <w:r>
              <w:rPr>
                <w:color w:val="1155CC"/>
                <w:u w:val="single"/>
              </w:rPr>
              <w:t>m</w:t>
            </w:r>
          </w:hyperlink>
          <w:hyperlink w:anchor="_givq0r4a9hwr">
            <w:r>
              <w:rPr>
                <w:color w:val="1155CC"/>
                <w:u w:val="single"/>
              </w:rPr>
              <w:t>easures</w:t>
            </w:r>
            <w:r>
              <w:rPr>
                <w:color w:val="1155CC"/>
                <w:u w:val="single"/>
              </w:rPr>
              <w:tab/>
              <w:t>4</w:t>
            </w:r>
          </w:hyperlink>
        </w:p>
        <w:p w14:paraId="4515E99D" w14:textId="77777777" w:rsidR="00FA7F86" w:rsidRDefault="00000000">
          <w:pPr>
            <w:widowControl w:val="0"/>
            <w:tabs>
              <w:tab w:val="right" w:pos="12000"/>
            </w:tabs>
            <w:spacing w:before="60" w:line="240" w:lineRule="auto"/>
            <w:rPr>
              <w:color w:val="1155CC"/>
              <w:u w:val="single"/>
            </w:rPr>
          </w:pPr>
          <w:hyperlink w:anchor="_5hqs6q8ystb1">
            <w:r>
              <w:rPr>
                <w:color w:val="1155CC"/>
                <w:u w:val="single"/>
              </w:rPr>
              <w:t>Recommendations</w:t>
            </w:r>
            <w:r>
              <w:rPr>
                <w:color w:val="1155CC"/>
                <w:u w:val="single"/>
              </w:rPr>
              <w:tab/>
              <w:t>5</w:t>
            </w:r>
          </w:hyperlink>
          <w:r>
            <w:fldChar w:fldCharType="end"/>
          </w:r>
        </w:p>
      </w:sdtContent>
    </w:sdt>
    <w:p w14:paraId="74B013F5" w14:textId="77777777" w:rsidR="00FA7F86" w:rsidRDefault="00FA7F86">
      <w:pPr>
        <w:spacing w:before="160" w:line="360" w:lineRule="auto"/>
        <w:rPr>
          <w:rFonts w:ascii="Google Sans" w:eastAsia="Google Sans" w:hAnsi="Google Sans" w:cs="Google Sans"/>
        </w:rPr>
      </w:pPr>
    </w:p>
    <w:p w14:paraId="21FA9BBC" w14:textId="77777777" w:rsidR="00FA7F86" w:rsidRDefault="00000000">
      <w:pPr>
        <w:spacing w:before="160" w:line="360" w:lineRule="auto"/>
        <w:rPr>
          <w:rFonts w:ascii="Google Sans" w:eastAsia="Google Sans" w:hAnsi="Google Sans" w:cs="Google Sans"/>
          <w:b/>
          <w:sz w:val="30"/>
          <w:szCs w:val="30"/>
        </w:rPr>
      </w:pPr>
      <w:r>
        <w:br w:type="page"/>
      </w:r>
    </w:p>
    <w:p w14:paraId="26354D58" w14:textId="77777777" w:rsidR="00FA7F86" w:rsidRPr="008D5B5E" w:rsidRDefault="00000000">
      <w:pPr>
        <w:pStyle w:val="Heading1"/>
        <w:spacing w:before="160" w:line="360" w:lineRule="auto"/>
        <w:rPr>
          <w:rFonts w:ascii="Times New Roman" w:eastAsia="Google Sans" w:hAnsi="Times New Roman" w:cs="Times New Roman"/>
          <w:b/>
        </w:rPr>
      </w:pPr>
      <w:bookmarkStart w:id="2" w:name="_c8wmvmx6j3to" w:colFirst="0" w:colLast="0"/>
      <w:bookmarkEnd w:id="2"/>
      <w:r w:rsidRPr="008D5B5E">
        <w:rPr>
          <w:rFonts w:ascii="Times New Roman" w:eastAsia="Google Sans" w:hAnsi="Times New Roman" w:cs="Times New Roman"/>
          <w:b/>
        </w:rPr>
        <w:lastRenderedPageBreak/>
        <w:t>Executive summary</w:t>
      </w:r>
    </w:p>
    <w:p w14:paraId="29DAA6E6" w14:textId="0907C053" w:rsidR="00FA7F86" w:rsidRPr="008D5B5E" w:rsidRDefault="008174C7" w:rsidP="0096674A">
      <w:pPr>
        <w:spacing w:line="360" w:lineRule="auto"/>
        <w:rPr>
          <w:rFonts w:ascii="Times New Roman" w:eastAsia="Google Sans" w:hAnsi="Times New Roman" w:cs="Times New Roman"/>
          <w:color w:val="666666"/>
        </w:rPr>
      </w:pPr>
      <w:r>
        <w:rPr>
          <w:rFonts w:ascii="Times New Roman" w:eastAsia="Google Sans" w:hAnsi="Times New Roman" w:cs="Times New Roman"/>
        </w:rPr>
        <w:t>KZM</w:t>
      </w:r>
      <w:r w:rsidR="0096674A" w:rsidRPr="008D5B5E">
        <w:rPr>
          <w:rFonts w:ascii="Times New Roman" w:eastAsia="Google Sans" w:hAnsi="Times New Roman" w:cs="Times New Roman"/>
        </w:rPr>
        <w:t xml:space="preserve"> Retail experienced a major data breach that compromised sensitive customer information, including credit card data, usernames, and associated locations. The breach occurred due to vulnerabilities in the company’s cloud environment, specifically involving a virtual machine (VM), a cloud storage bucket, and firewall configurations. A compromised VM (cc-app-01) was found to have been configured with an open SSH and RDP port, allowing a malicious actor to establish a connection and escalate privileges by exploiting a weak service account with full API access. The attacker infected the VM with malware and gained access to sensitive data stored in </w:t>
      </w:r>
      <w:proofErr w:type="spellStart"/>
      <w:r w:rsidR="0096674A" w:rsidRPr="008D5B5E">
        <w:rPr>
          <w:rFonts w:ascii="Times New Roman" w:eastAsia="Google Sans" w:hAnsi="Times New Roman" w:cs="Times New Roman"/>
        </w:rPr>
        <w:t>BigQuery</w:t>
      </w:r>
      <w:proofErr w:type="spellEnd"/>
      <w:r w:rsidR="0096674A" w:rsidRPr="008D5B5E">
        <w:rPr>
          <w:rFonts w:ascii="Times New Roman" w:eastAsia="Google Sans" w:hAnsi="Times New Roman" w:cs="Times New Roman"/>
        </w:rPr>
        <w:t>. Data exfiltration was achieved through a publicly accessible cloud storage bucket, which the attacker used to transfer customer credit card information. Immediate response efforts focused on identifying, containing, and remediating the vulnerabilities across the affected cloud infrastructure.</w:t>
      </w:r>
      <w:bookmarkStart w:id="3" w:name="_h7t7utgvwlmv" w:colFirst="0" w:colLast="0"/>
      <w:bookmarkStart w:id="4" w:name="_q47xl9vd6y" w:colFirst="0" w:colLast="0"/>
      <w:bookmarkStart w:id="5" w:name="_au3nwkrjknaq" w:colFirst="0" w:colLast="0"/>
      <w:bookmarkStart w:id="6" w:name="_cx2argmw95l6" w:colFirst="0" w:colLast="0"/>
      <w:bookmarkStart w:id="7" w:name="_pvqg6j8845lj" w:colFirst="0" w:colLast="0"/>
      <w:bookmarkStart w:id="8" w:name="_x9z88ci4yc8w" w:colFirst="0" w:colLast="0"/>
      <w:bookmarkStart w:id="9" w:name="_lu1q2t1gek1q" w:colFirst="0" w:colLast="0"/>
      <w:bookmarkEnd w:id="3"/>
      <w:bookmarkEnd w:id="4"/>
      <w:bookmarkEnd w:id="5"/>
      <w:bookmarkEnd w:id="6"/>
      <w:bookmarkEnd w:id="7"/>
      <w:bookmarkEnd w:id="8"/>
      <w:bookmarkEnd w:id="9"/>
      <w:r w:rsidR="0096674A" w:rsidRPr="008D5B5E">
        <w:rPr>
          <w:rFonts w:ascii="Times New Roman" w:hAnsi="Times New Roman" w:cs="Times New Roman"/>
        </w:rPr>
        <w:br w:type="page"/>
      </w:r>
    </w:p>
    <w:p w14:paraId="444193EE" w14:textId="77777777" w:rsidR="00FA7F86" w:rsidRPr="008D5B5E" w:rsidRDefault="00000000">
      <w:pPr>
        <w:pStyle w:val="Heading1"/>
        <w:spacing w:before="160" w:line="360" w:lineRule="auto"/>
        <w:rPr>
          <w:rFonts w:ascii="Times New Roman" w:eastAsia="Google Sans" w:hAnsi="Times New Roman" w:cs="Times New Roman"/>
        </w:rPr>
      </w:pPr>
      <w:bookmarkStart w:id="10" w:name="_sgg8djay179y" w:colFirst="0" w:colLast="0"/>
      <w:bookmarkEnd w:id="10"/>
      <w:r w:rsidRPr="008D5B5E">
        <w:rPr>
          <w:rFonts w:ascii="Times New Roman" w:eastAsia="Google Sans" w:hAnsi="Times New Roman" w:cs="Times New Roman"/>
          <w:b/>
        </w:rPr>
        <w:lastRenderedPageBreak/>
        <w:t>Investigation</w:t>
      </w:r>
    </w:p>
    <w:p w14:paraId="22D4EB27" w14:textId="77777777"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A comprehensive investigation was conducted to determine the nature and extent of the compromise. The following findings were identified:</w:t>
      </w:r>
    </w:p>
    <w:p w14:paraId="5D4DFAE7" w14:textId="77777777"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 xml:space="preserve">1. </w:t>
      </w:r>
      <w:r w:rsidRPr="008D5B5E">
        <w:rPr>
          <w:rFonts w:ascii="Times New Roman" w:eastAsia="Google Sans" w:hAnsi="Times New Roman" w:cs="Times New Roman"/>
          <w:b/>
        </w:rPr>
        <w:t>Malware infection</w:t>
      </w:r>
      <w:r w:rsidRPr="008D5B5E">
        <w:rPr>
          <w:rFonts w:ascii="Times New Roman" w:eastAsia="Google Sans" w:hAnsi="Times New Roman" w:cs="Times New Roman"/>
        </w:rPr>
        <w:t>: Forensic analysis confirmed the presence of malware on the compromised VM. The specific type and variant of the malware were identified through in-depth analysis, providing insights into the attacker's techniques and potential motivations.</w:t>
      </w:r>
    </w:p>
    <w:p w14:paraId="139F518D" w14:textId="77777777"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 xml:space="preserve">2. </w:t>
      </w:r>
      <w:r w:rsidRPr="008D5B5E">
        <w:rPr>
          <w:rFonts w:ascii="Times New Roman" w:eastAsia="Google Sans" w:hAnsi="Times New Roman" w:cs="Times New Roman"/>
          <w:b/>
        </w:rPr>
        <w:t>Unauthorized access</w:t>
      </w:r>
      <w:r w:rsidRPr="008D5B5E">
        <w:rPr>
          <w:rFonts w:ascii="Times New Roman" w:eastAsia="Google Sans" w:hAnsi="Times New Roman" w:cs="Times New Roman"/>
        </w:rPr>
        <w:t>: Evidence revealed that the attacker gained unauthorized access to the compromised VM by exploiting open RDP and SSH services. The access logs and network traffic analysis provided crucial insights into the attacker's entry point and their subsequent activities.</w:t>
      </w:r>
    </w:p>
    <w:p w14:paraId="62085BB2" w14:textId="77777777"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 xml:space="preserve">3. </w:t>
      </w:r>
      <w:r w:rsidRPr="008D5B5E">
        <w:rPr>
          <w:rFonts w:ascii="Times New Roman" w:eastAsia="Google Sans" w:hAnsi="Times New Roman" w:cs="Times New Roman"/>
          <w:b/>
        </w:rPr>
        <w:t>Privilege escalation</w:t>
      </w:r>
      <w:r w:rsidRPr="008D5B5E">
        <w:rPr>
          <w:rFonts w:ascii="Times New Roman" w:eastAsia="Google Sans" w:hAnsi="Times New Roman" w:cs="Times New Roman"/>
        </w:rPr>
        <w:t xml:space="preserve">: The forensic examination indicated that the attacker leveraged the compromised VM to escalate privileges and gain access to sensitive systems and resources. Through the exploitation of user and service account credentials, the attacker was able to move laterally within the network and target additional services; </w:t>
      </w:r>
      <w:proofErr w:type="gramStart"/>
      <w:r w:rsidRPr="008D5B5E">
        <w:rPr>
          <w:rFonts w:ascii="Times New Roman" w:eastAsia="Google Sans" w:hAnsi="Times New Roman" w:cs="Times New Roman"/>
        </w:rPr>
        <w:t>in particular gaining</w:t>
      </w:r>
      <w:proofErr w:type="gramEnd"/>
      <w:r w:rsidRPr="008D5B5E">
        <w:rPr>
          <w:rFonts w:ascii="Times New Roman" w:eastAsia="Google Sans" w:hAnsi="Times New Roman" w:cs="Times New Roman"/>
        </w:rPr>
        <w:t xml:space="preserve"> unauthorized access to </w:t>
      </w:r>
      <w:proofErr w:type="spellStart"/>
      <w:r w:rsidRPr="008D5B5E">
        <w:rPr>
          <w:rFonts w:ascii="Times New Roman" w:eastAsia="Google Sans" w:hAnsi="Times New Roman" w:cs="Times New Roman"/>
        </w:rPr>
        <w:t>BigQuery</w:t>
      </w:r>
      <w:proofErr w:type="spellEnd"/>
      <w:r w:rsidRPr="008D5B5E">
        <w:rPr>
          <w:rFonts w:ascii="Times New Roman" w:eastAsia="Google Sans" w:hAnsi="Times New Roman" w:cs="Times New Roman"/>
        </w:rPr>
        <w:t>.</w:t>
      </w:r>
    </w:p>
    <w:p w14:paraId="75B2B4D2" w14:textId="262F87B9"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 xml:space="preserve">4. </w:t>
      </w:r>
      <w:r w:rsidRPr="008D5B5E">
        <w:rPr>
          <w:rFonts w:ascii="Times New Roman" w:eastAsia="Google Sans" w:hAnsi="Times New Roman" w:cs="Times New Roman"/>
          <w:b/>
        </w:rPr>
        <w:t>Data exfiltration</w:t>
      </w:r>
      <w:r w:rsidRPr="008D5B5E">
        <w:rPr>
          <w:rFonts w:ascii="Times New Roman" w:eastAsia="Google Sans" w:hAnsi="Times New Roman" w:cs="Times New Roman"/>
        </w:rPr>
        <w:t xml:space="preserve">: The forensic analysis confirmed the exfiltration of credit card information, including card numbers, </w:t>
      </w:r>
      <w:r w:rsidR="008D5B5E" w:rsidRPr="008D5B5E">
        <w:rPr>
          <w:rFonts w:ascii="Times New Roman" w:eastAsia="Google Sans" w:hAnsi="Times New Roman" w:cs="Times New Roman"/>
        </w:rPr>
        <w:t>usernames</w:t>
      </w:r>
      <w:r w:rsidRPr="008D5B5E">
        <w:rPr>
          <w:rFonts w:ascii="Times New Roman" w:eastAsia="Google Sans" w:hAnsi="Times New Roman" w:cs="Times New Roman"/>
        </w:rPr>
        <w:t>, and associated locations. The attacker utilized a storage bucket with public internet access to initiate and facilitate the exfiltration, exporting the compromised data for later remote retrieval.</w:t>
      </w:r>
    </w:p>
    <w:p w14:paraId="63CFD17A" w14:textId="77777777" w:rsidR="00FA7F86" w:rsidRPr="008D5B5E" w:rsidRDefault="00000000">
      <w:pPr>
        <w:spacing w:before="160" w:line="360" w:lineRule="auto"/>
        <w:rPr>
          <w:rFonts w:ascii="Times New Roman" w:eastAsia="Google Sans" w:hAnsi="Times New Roman" w:cs="Times New Roman"/>
        </w:rPr>
      </w:pPr>
      <w:r w:rsidRPr="008D5B5E">
        <w:rPr>
          <w:rFonts w:ascii="Times New Roman" w:eastAsia="Google Sans" w:hAnsi="Times New Roman" w:cs="Times New Roman"/>
        </w:rPr>
        <w:t>The findings provide valuable insights into the attack, enabling the incident response team to understand the attack vector, the attacker's actions, and the compromised data. These findings will serve as crucial evidence for further investigations, remediation efforts, and future cybersecurity enhancements.</w:t>
      </w:r>
    </w:p>
    <w:p w14:paraId="36A41275" w14:textId="77777777" w:rsidR="00FA7F86" w:rsidRPr="008D5B5E" w:rsidRDefault="00000000">
      <w:pPr>
        <w:pStyle w:val="Heading1"/>
        <w:spacing w:before="160" w:line="360" w:lineRule="auto"/>
        <w:rPr>
          <w:rFonts w:ascii="Times New Roman" w:eastAsia="Google Sans" w:hAnsi="Times New Roman" w:cs="Times New Roman"/>
          <w:b/>
        </w:rPr>
      </w:pPr>
      <w:bookmarkStart w:id="11" w:name="_fuygv1dtenv7" w:colFirst="0" w:colLast="0"/>
      <w:bookmarkEnd w:id="11"/>
      <w:r w:rsidRPr="008D5B5E">
        <w:rPr>
          <w:rFonts w:ascii="Times New Roman" w:hAnsi="Times New Roman" w:cs="Times New Roman"/>
        </w:rPr>
        <w:br w:type="page"/>
      </w:r>
    </w:p>
    <w:p w14:paraId="4F64E3E0" w14:textId="77777777" w:rsidR="00FA7F86" w:rsidRPr="008D5B5E" w:rsidRDefault="00000000">
      <w:pPr>
        <w:pStyle w:val="Heading1"/>
        <w:spacing w:before="160" w:line="360" w:lineRule="auto"/>
        <w:rPr>
          <w:rFonts w:ascii="Times New Roman" w:eastAsia="Google Sans" w:hAnsi="Times New Roman" w:cs="Times New Roman"/>
          <w:b/>
        </w:rPr>
      </w:pPr>
      <w:bookmarkStart w:id="12" w:name="_bgoc8vygd0dj" w:colFirst="0" w:colLast="0"/>
      <w:bookmarkEnd w:id="12"/>
      <w:r w:rsidRPr="008D5B5E">
        <w:rPr>
          <w:rFonts w:ascii="Times New Roman" w:eastAsia="Google Sans" w:hAnsi="Times New Roman" w:cs="Times New Roman"/>
          <w:b/>
        </w:rPr>
        <w:lastRenderedPageBreak/>
        <w:t>Response and remediation</w:t>
      </w:r>
    </w:p>
    <w:p w14:paraId="2180D684" w14:textId="77777777" w:rsidR="0096674A" w:rsidRPr="008D5B5E" w:rsidRDefault="00000000" w:rsidP="0096674A">
      <w:pPr>
        <w:spacing w:line="360" w:lineRule="auto"/>
        <w:rPr>
          <w:rFonts w:ascii="Times New Roman" w:eastAsia="Google Sans" w:hAnsi="Times New Roman" w:cs="Times New Roman"/>
          <w:b/>
        </w:rPr>
      </w:pPr>
      <w:r w:rsidRPr="008D5B5E">
        <w:rPr>
          <w:rFonts w:ascii="Times New Roman" w:eastAsia="Google Sans" w:hAnsi="Times New Roman" w:cs="Times New Roman"/>
        </w:rPr>
        <w:t>To effectively remediate the incident, a series of actions were taken in alignment with industry best practices. The following outlines the containment, eradication, and recovery measures implemented:</w:t>
      </w:r>
      <w:r w:rsidRPr="008D5B5E">
        <w:rPr>
          <w:rFonts w:ascii="Times New Roman" w:eastAsia="Google Sans" w:hAnsi="Times New Roman" w:cs="Times New Roman"/>
        </w:rPr>
        <w:br/>
      </w:r>
      <w:bookmarkStart w:id="13" w:name="_kyhxcqk3n5c5" w:colFirst="0" w:colLast="0"/>
      <w:bookmarkEnd w:id="13"/>
    </w:p>
    <w:p w14:paraId="33A33268" w14:textId="7A693687" w:rsidR="00FA7F86" w:rsidRPr="008D5B5E" w:rsidRDefault="00000000" w:rsidP="0096674A">
      <w:pPr>
        <w:spacing w:line="360" w:lineRule="auto"/>
        <w:rPr>
          <w:rFonts w:ascii="Times New Roman" w:eastAsia="Google Sans" w:hAnsi="Times New Roman" w:cs="Times New Roman"/>
        </w:rPr>
      </w:pPr>
      <w:r w:rsidRPr="008D5B5E">
        <w:rPr>
          <w:rFonts w:ascii="Times New Roman" w:eastAsia="Google Sans" w:hAnsi="Times New Roman" w:cs="Times New Roman"/>
          <w:b/>
        </w:rPr>
        <w:t>Containment and eradication measures</w:t>
      </w:r>
      <w:r w:rsidR="008D5B5E">
        <w:rPr>
          <w:rFonts w:ascii="Times New Roman" w:eastAsia="Google Sans" w:hAnsi="Times New Roman" w:cs="Times New Roman"/>
          <w:b/>
        </w:rPr>
        <w:t>:</w:t>
      </w:r>
    </w:p>
    <w:p w14:paraId="1EC6CA83" w14:textId="282A9D1F" w:rsidR="0096674A" w:rsidRPr="008D5B5E" w:rsidRDefault="0096674A" w:rsidP="0096674A">
      <w:pPr>
        <w:pStyle w:val="ListParagraph"/>
        <w:numPr>
          <w:ilvl w:val="0"/>
          <w:numId w:val="3"/>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Shutting Down Compromised VM:</w:t>
      </w:r>
      <w:r w:rsidRPr="008D5B5E">
        <w:rPr>
          <w:rFonts w:ascii="Times New Roman" w:eastAsia="Google Sans" w:hAnsi="Times New Roman" w:cs="Times New Roman"/>
          <w:lang w:val="en-AU"/>
        </w:rPr>
        <w:t xml:space="preserve"> The infected virtual machine cc-app-01 was immediately shut down to stop the attacker from maintaining their presence in the environment.</w:t>
      </w:r>
    </w:p>
    <w:p w14:paraId="4B53CE4B" w14:textId="4F6CE62B" w:rsidR="0096674A" w:rsidRPr="008D5B5E" w:rsidRDefault="0096674A" w:rsidP="0096674A">
      <w:pPr>
        <w:pStyle w:val="ListParagraph"/>
        <w:numPr>
          <w:ilvl w:val="0"/>
          <w:numId w:val="3"/>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Removing Public IP and Ports Access:</w:t>
      </w:r>
      <w:r w:rsidRPr="008D5B5E">
        <w:rPr>
          <w:rFonts w:ascii="Times New Roman" w:eastAsia="Google Sans" w:hAnsi="Times New Roman" w:cs="Times New Roman"/>
          <w:lang w:val="en-AU"/>
        </w:rPr>
        <w:t xml:space="preserve"> The VM was recreated without a public IP and had secure boot enabled, preventing unauthorized external access. SSH access was restricted to specific internal IP ranges.</w:t>
      </w:r>
    </w:p>
    <w:p w14:paraId="691DF0C1" w14:textId="4AEE3509" w:rsidR="0096674A" w:rsidRPr="008D5B5E" w:rsidRDefault="0096674A" w:rsidP="0096674A">
      <w:pPr>
        <w:pStyle w:val="ListParagraph"/>
        <w:numPr>
          <w:ilvl w:val="0"/>
          <w:numId w:val="3"/>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Revoking Public Access to Storage Bucket:</w:t>
      </w:r>
      <w:r w:rsidRPr="008D5B5E">
        <w:rPr>
          <w:rFonts w:ascii="Times New Roman" w:eastAsia="Google Sans" w:hAnsi="Times New Roman" w:cs="Times New Roman"/>
          <w:lang w:val="en-AU"/>
        </w:rPr>
        <w:t xml:space="preserve"> The public access control list (ACL) of the storage bucket was revoked, and uniform bucket-level access control was enforced to secure sensitive data.</w:t>
      </w:r>
    </w:p>
    <w:p w14:paraId="3CAA1054" w14:textId="1B63C94E" w:rsidR="0096674A" w:rsidRPr="008D5B5E" w:rsidRDefault="0096674A" w:rsidP="0096674A">
      <w:pPr>
        <w:pStyle w:val="ListParagraph"/>
        <w:numPr>
          <w:ilvl w:val="0"/>
          <w:numId w:val="3"/>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Deleting Insecure Firewall Rules:</w:t>
      </w:r>
      <w:r w:rsidRPr="008D5B5E">
        <w:rPr>
          <w:rFonts w:ascii="Times New Roman" w:eastAsia="Google Sans" w:hAnsi="Times New Roman" w:cs="Times New Roman"/>
          <w:lang w:val="en-AU"/>
        </w:rPr>
        <w:t xml:space="preserve"> Broad firewall rules allowing open access via SSH, RDP, and ICMP were removed, and new restricted rules were implemented.</w:t>
      </w:r>
    </w:p>
    <w:p w14:paraId="16D199D9" w14:textId="676ADE70" w:rsidR="00FA7F86" w:rsidRPr="008D5B5E" w:rsidRDefault="0096674A" w:rsidP="0096674A">
      <w:pPr>
        <w:pStyle w:val="ListParagraph"/>
        <w:numPr>
          <w:ilvl w:val="0"/>
          <w:numId w:val="3"/>
        </w:numPr>
        <w:spacing w:line="360" w:lineRule="auto"/>
        <w:rPr>
          <w:rFonts w:ascii="Times New Roman" w:eastAsia="Google Sans" w:hAnsi="Times New Roman" w:cs="Times New Roman"/>
        </w:rPr>
      </w:pPr>
      <w:r w:rsidRPr="008D5B5E">
        <w:rPr>
          <w:rFonts w:ascii="Times New Roman" w:eastAsia="Google Sans" w:hAnsi="Times New Roman" w:cs="Times New Roman"/>
          <w:b/>
          <w:bCs/>
          <w:lang w:val="en-AU"/>
        </w:rPr>
        <w:t>Eradicating Malware:</w:t>
      </w:r>
      <w:r w:rsidRPr="008D5B5E">
        <w:rPr>
          <w:rFonts w:ascii="Times New Roman" w:eastAsia="Google Sans" w:hAnsi="Times New Roman" w:cs="Times New Roman"/>
          <w:lang w:val="en-AU"/>
        </w:rPr>
        <w:t xml:space="preserve"> The VM was deleted, and all related malware and infected components were eradicated from the environment.</w:t>
      </w:r>
    </w:p>
    <w:p w14:paraId="0207DA0D" w14:textId="77777777" w:rsidR="00FA7F86" w:rsidRPr="008D5B5E" w:rsidRDefault="00FA7F86">
      <w:pPr>
        <w:rPr>
          <w:rFonts w:ascii="Times New Roman" w:hAnsi="Times New Roman" w:cs="Times New Roman"/>
        </w:rPr>
      </w:pPr>
    </w:p>
    <w:p w14:paraId="0244CB64" w14:textId="76461A3B" w:rsidR="00FA7F86" w:rsidRPr="008D5B5E" w:rsidRDefault="00000000">
      <w:pPr>
        <w:pStyle w:val="Heading3"/>
        <w:spacing w:line="360" w:lineRule="auto"/>
        <w:rPr>
          <w:rFonts w:ascii="Times New Roman" w:eastAsia="Google Sans" w:hAnsi="Times New Roman" w:cs="Times New Roman"/>
          <w:b/>
          <w:color w:val="auto"/>
          <w:sz w:val="22"/>
          <w:szCs w:val="22"/>
        </w:rPr>
      </w:pPr>
      <w:bookmarkStart w:id="14" w:name="_givq0r4a9hwr" w:colFirst="0" w:colLast="0"/>
      <w:bookmarkEnd w:id="14"/>
      <w:r w:rsidRPr="008D5B5E">
        <w:rPr>
          <w:rFonts w:ascii="Times New Roman" w:eastAsia="Google Sans" w:hAnsi="Times New Roman" w:cs="Times New Roman"/>
          <w:b/>
          <w:color w:val="auto"/>
          <w:sz w:val="22"/>
          <w:szCs w:val="22"/>
        </w:rPr>
        <w:t>Recovery measures</w:t>
      </w:r>
      <w:r w:rsidR="008D5B5E">
        <w:rPr>
          <w:rFonts w:ascii="Times New Roman" w:eastAsia="Google Sans" w:hAnsi="Times New Roman" w:cs="Times New Roman"/>
          <w:b/>
          <w:color w:val="auto"/>
          <w:sz w:val="22"/>
          <w:szCs w:val="22"/>
        </w:rPr>
        <w:t>:</w:t>
      </w:r>
    </w:p>
    <w:p w14:paraId="524F1457" w14:textId="29831381" w:rsidR="0096674A" w:rsidRPr="008D5B5E" w:rsidRDefault="0096674A" w:rsidP="0096674A">
      <w:pPr>
        <w:pStyle w:val="ListParagraph"/>
        <w:numPr>
          <w:ilvl w:val="1"/>
          <w:numId w:val="6"/>
        </w:numPr>
        <w:spacing w:line="360" w:lineRule="auto"/>
        <w:rPr>
          <w:rFonts w:ascii="Times New Roman" w:hAnsi="Times New Roman" w:cs="Times New Roman"/>
          <w:lang w:val="en-AU"/>
        </w:rPr>
      </w:pPr>
      <w:r w:rsidRPr="008D5B5E">
        <w:rPr>
          <w:rFonts w:ascii="Times New Roman" w:hAnsi="Times New Roman" w:cs="Times New Roman"/>
          <w:b/>
          <w:bCs/>
          <w:lang w:val="en-AU"/>
        </w:rPr>
        <w:t>Creating a Secure VM from Snapshot:</w:t>
      </w:r>
      <w:r w:rsidRPr="008D5B5E">
        <w:rPr>
          <w:rFonts w:ascii="Times New Roman" w:hAnsi="Times New Roman" w:cs="Times New Roman"/>
          <w:lang w:val="en-AU"/>
        </w:rPr>
        <w:t xml:space="preserve"> A new VM (cc-app-02) was created using a snapshot taken prior to the malware infection. This VM was configured with enhanced security features such as Secure Boot and a private IP address.</w:t>
      </w:r>
    </w:p>
    <w:p w14:paraId="3ECC3768" w14:textId="3B506784" w:rsidR="0096674A" w:rsidRPr="008D5B5E" w:rsidRDefault="0096674A" w:rsidP="0096674A">
      <w:pPr>
        <w:pStyle w:val="ListParagraph"/>
        <w:numPr>
          <w:ilvl w:val="1"/>
          <w:numId w:val="6"/>
        </w:numPr>
        <w:spacing w:line="360" w:lineRule="auto"/>
        <w:rPr>
          <w:rFonts w:ascii="Times New Roman" w:hAnsi="Times New Roman" w:cs="Times New Roman"/>
          <w:lang w:val="en-AU"/>
        </w:rPr>
      </w:pPr>
      <w:r w:rsidRPr="008D5B5E">
        <w:rPr>
          <w:rFonts w:ascii="Times New Roman" w:hAnsi="Times New Roman" w:cs="Times New Roman"/>
          <w:b/>
          <w:bCs/>
          <w:lang w:val="en-AU"/>
        </w:rPr>
        <w:t>Enabling Firewall Logging:</w:t>
      </w:r>
      <w:r w:rsidRPr="008D5B5E">
        <w:rPr>
          <w:rFonts w:ascii="Times New Roman" w:hAnsi="Times New Roman" w:cs="Times New Roman"/>
          <w:lang w:val="en-AU"/>
        </w:rPr>
        <w:t xml:space="preserve"> Firewall logging was enabled to monitor incoming and outgoing traffic, ensuring better visibility of future network activities.</w:t>
      </w:r>
    </w:p>
    <w:p w14:paraId="3B76568A" w14:textId="3B894CAB" w:rsidR="0096674A" w:rsidRPr="008D5B5E" w:rsidRDefault="0096674A" w:rsidP="0096674A">
      <w:pPr>
        <w:pStyle w:val="ListParagraph"/>
        <w:numPr>
          <w:ilvl w:val="1"/>
          <w:numId w:val="6"/>
        </w:numPr>
        <w:spacing w:line="360" w:lineRule="auto"/>
        <w:rPr>
          <w:rFonts w:ascii="Times New Roman" w:hAnsi="Times New Roman" w:cs="Times New Roman"/>
          <w:lang w:val="en-AU"/>
        </w:rPr>
      </w:pPr>
      <w:r w:rsidRPr="008D5B5E">
        <w:rPr>
          <w:rFonts w:ascii="Times New Roman" w:hAnsi="Times New Roman" w:cs="Times New Roman"/>
          <w:b/>
          <w:bCs/>
          <w:lang w:val="en-AU"/>
        </w:rPr>
        <w:t>Verifying Compliance:</w:t>
      </w:r>
      <w:r w:rsidRPr="008D5B5E">
        <w:rPr>
          <w:rFonts w:ascii="Times New Roman" w:hAnsi="Times New Roman" w:cs="Times New Roman"/>
          <w:lang w:val="en-AU"/>
        </w:rPr>
        <w:t xml:space="preserve"> The environment was scanned for compliance with PCI DSS 3.2.1 standards. All critical vulnerabilities were resolved, and compliance was restored.</w:t>
      </w:r>
    </w:p>
    <w:p w14:paraId="243B6451" w14:textId="5BAF5092" w:rsidR="00FA7F86" w:rsidRPr="008D5B5E" w:rsidRDefault="0096674A" w:rsidP="0096674A">
      <w:pPr>
        <w:pStyle w:val="ListParagraph"/>
        <w:numPr>
          <w:ilvl w:val="1"/>
          <w:numId w:val="6"/>
        </w:numPr>
        <w:spacing w:line="360" w:lineRule="auto"/>
        <w:rPr>
          <w:rFonts w:ascii="Times New Roman" w:hAnsi="Times New Roman" w:cs="Times New Roman"/>
        </w:rPr>
      </w:pPr>
      <w:r w:rsidRPr="008D5B5E">
        <w:rPr>
          <w:rFonts w:ascii="Times New Roman" w:hAnsi="Times New Roman" w:cs="Times New Roman"/>
          <w:b/>
          <w:bCs/>
          <w:lang w:val="en-AU"/>
        </w:rPr>
        <w:t>Monitoring and Logging:</w:t>
      </w:r>
      <w:r w:rsidRPr="008D5B5E">
        <w:rPr>
          <w:rFonts w:ascii="Times New Roman" w:hAnsi="Times New Roman" w:cs="Times New Roman"/>
          <w:lang w:val="en-AU"/>
        </w:rPr>
        <w:t xml:space="preserve"> Real-time monitoring was enabled across the system to detect future anomalies, and logging was activated for key services to ensure timely alerts in case of suspicious activity.</w:t>
      </w:r>
    </w:p>
    <w:p w14:paraId="15844F9D" w14:textId="77777777" w:rsidR="00FA7F86" w:rsidRPr="008D5B5E" w:rsidRDefault="00FA7F86">
      <w:pPr>
        <w:spacing w:line="360" w:lineRule="auto"/>
        <w:rPr>
          <w:rFonts w:ascii="Times New Roman" w:eastAsia="Google Sans" w:hAnsi="Times New Roman" w:cs="Times New Roman"/>
        </w:rPr>
      </w:pPr>
    </w:p>
    <w:p w14:paraId="0FEF0438" w14:textId="77777777" w:rsidR="00FA7F86" w:rsidRPr="008D5B5E" w:rsidRDefault="00FA7F86">
      <w:pPr>
        <w:spacing w:line="360" w:lineRule="auto"/>
        <w:rPr>
          <w:rFonts w:ascii="Times New Roman" w:eastAsia="Google Sans" w:hAnsi="Times New Roman" w:cs="Times New Roman"/>
        </w:rPr>
      </w:pPr>
    </w:p>
    <w:p w14:paraId="5133A88D" w14:textId="1D6335F1" w:rsidR="00FA7F86" w:rsidRPr="008D5B5E" w:rsidRDefault="00000000" w:rsidP="0096674A">
      <w:pPr>
        <w:spacing w:line="360" w:lineRule="auto"/>
        <w:rPr>
          <w:rFonts w:ascii="Times New Roman" w:eastAsia="Google Sans" w:hAnsi="Times New Roman" w:cs="Times New Roman"/>
        </w:rPr>
      </w:pPr>
      <w:r w:rsidRPr="008D5B5E">
        <w:rPr>
          <w:rFonts w:ascii="Times New Roman" w:eastAsia="Google Sans" w:hAnsi="Times New Roman" w:cs="Times New Roman"/>
        </w:rPr>
        <w:lastRenderedPageBreak/>
        <w:t>By implementing these measures, the security team successfully mitigated the immediate risks, removed the attacker's presence, and restored affected systems to a secure and operational state.</w:t>
      </w:r>
    </w:p>
    <w:p w14:paraId="45D619D7" w14:textId="77777777" w:rsidR="00FA7F86" w:rsidRPr="008D5B5E" w:rsidRDefault="00FA7F86">
      <w:pPr>
        <w:spacing w:before="160" w:line="360" w:lineRule="auto"/>
        <w:rPr>
          <w:rFonts w:ascii="Times New Roman" w:eastAsia="Google Sans" w:hAnsi="Times New Roman" w:cs="Times New Roman"/>
          <w:color w:val="0000FF"/>
          <w:sz w:val="24"/>
          <w:szCs w:val="24"/>
        </w:rPr>
      </w:pPr>
    </w:p>
    <w:p w14:paraId="41AA272B" w14:textId="77777777" w:rsidR="00FA7F86" w:rsidRPr="008D5B5E" w:rsidRDefault="00FA7F86">
      <w:pPr>
        <w:spacing w:before="160" w:line="360" w:lineRule="auto"/>
        <w:rPr>
          <w:rFonts w:ascii="Times New Roman" w:eastAsia="Google Sans" w:hAnsi="Times New Roman" w:cs="Times New Roman"/>
          <w:color w:val="0000FF"/>
          <w:sz w:val="24"/>
          <w:szCs w:val="24"/>
        </w:rPr>
      </w:pPr>
    </w:p>
    <w:p w14:paraId="37AD8333" w14:textId="77777777" w:rsidR="00FA7F86" w:rsidRPr="008D5B5E" w:rsidRDefault="00000000">
      <w:pPr>
        <w:pStyle w:val="Heading1"/>
        <w:spacing w:before="160" w:line="360" w:lineRule="auto"/>
        <w:rPr>
          <w:rFonts w:ascii="Times New Roman" w:eastAsia="Google Sans" w:hAnsi="Times New Roman" w:cs="Times New Roman"/>
          <w:b/>
        </w:rPr>
      </w:pPr>
      <w:bookmarkStart w:id="15" w:name="_5hqs6q8ystb1" w:colFirst="0" w:colLast="0"/>
      <w:bookmarkEnd w:id="15"/>
      <w:r w:rsidRPr="008D5B5E">
        <w:rPr>
          <w:rFonts w:ascii="Times New Roman" w:eastAsia="Google Sans" w:hAnsi="Times New Roman" w:cs="Times New Roman"/>
          <w:b/>
        </w:rPr>
        <w:t>Recommendations</w:t>
      </w:r>
    </w:p>
    <w:p w14:paraId="168F088E" w14:textId="77777777" w:rsidR="00FA7F86" w:rsidRPr="008D5B5E" w:rsidRDefault="00000000">
      <w:pPr>
        <w:spacing w:line="360" w:lineRule="auto"/>
        <w:rPr>
          <w:rFonts w:ascii="Times New Roman" w:hAnsi="Times New Roman" w:cs="Times New Roman"/>
        </w:rPr>
      </w:pPr>
      <w:r w:rsidRPr="008D5B5E">
        <w:rPr>
          <w:rFonts w:ascii="Times New Roman" w:eastAsia="Google Sans" w:hAnsi="Times New Roman" w:cs="Times New Roman"/>
        </w:rPr>
        <w:t xml:space="preserve">This incident provided valuable lessons that can inform future cybersecurity practices and help prevent similar incidents. The following are recommendations that we suggest </w:t>
      </w:r>
      <w:proofErr w:type="gramStart"/>
      <w:r w:rsidRPr="008D5B5E">
        <w:rPr>
          <w:rFonts w:ascii="Times New Roman" w:eastAsia="Google Sans" w:hAnsi="Times New Roman" w:cs="Times New Roman"/>
        </w:rPr>
        <w:t>be</w:t>
      </w:r>
      <w:proofErr w:type="gramEnd"/>
      <w:r w:rsidRPr="008D5B5E">
        <w:rPr>
          <w:rFonts w:ascii="Times New Roman" w:eastAsia="Google Sans" w:hAnsi="Times New Roman" w:cs="Times New Roman"/>
        </w:rPr>
        <w:t xml:space="preserve"> implemented to mitigate similar attacks from happening in the future:</w:t>
      </w:r>
    </w:p>
    <w:p w14:paraId="0847FEF0" w14:textId="77777777" w:rsidR="00FA7F86" w:rsidRPr="008D5B5E" w:rsidRDefault="00FA7F86">
      <w:pPr>
        <w:spacing w:line="360" w:lineRule="auto"/>
        <w:rPr>
          <w:rFonts w:ascii="Times New Roman" w:eastAsia="Google Sans" w:hAnsi="Times New Roman" w:cs="Times New Roman"/>
          <w:color w:val="666666"/>
        </w:rPr>
      </w:pPr>
    </w:p>
    <w:p w14:paraId="2BF7EBF5" w14:textId="77777777" w:rsidR="0096674A" w:rsidRPr="008D5B5E" w:rsidRDefault="0096674A" w:rsidP="0096674A">
      <w:pPr>
        <w:numPr>
          <w:ilvl w:val="0"/>
          <w:numId w:val="7"/>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Strengthen Access Controls:</w:t>
      </w:r>
      <w:r w:rsidRPr="008D5B5E">
        <w:rPr>
          <w:rFonts w:ascii="Times New Roman" w:eastAsia="Google Sans" w:hAnsi="Times New Roman" w:cs="Times New Roman"/>
          <w:lang w:val="en-AU"/>
        </w:rPr>
        <w:t xml:space="preserve"> Implement multi-factor authentication (MFA) and stronger password policies to reduce the risk of brute-force attacks on cloud resources. This would ensure that unauthorized access through weak credentials is mitigated.</w:t>
      </w:r>
    </w:p>
    <w:p w14:paraId="6123CF9F" w14:textId="77777777" w:rsidR="0096674A" w:rsidRPr="008D5B5E" w:rsidRDefault="0096674A" w:rsidP="0096674A">
      <w:pPr>
        <w:numPr>
          <w:ilvl w:val="0"/>
          <w:numId w:val="7"/>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Regular Security Audits:</w:t>
      </w:r>
      <w:r w:rsidRPr="008D5B5E">
        <w:rPr>
          <w:rFonts w:ascii="Times New Roman" w:eastAsia="Google Sans" w:hAnsi="Times New Roman" w:cs="Times New Roman"/>
          <w:lang w:val="en-AU"/>
        </w:rPr>
        <w:t xml:space="preserve"> Conduct regular audits of firewall rules, storage bucket permissions, and virtual machine configurations to ensure no misconfigurations exist. Automated tools should be used to check for open ports and publicly accessible resources.</w:t>
      </w:r>
    </w:p>
    <w:p w14:paraId="35E0FAC0" w14:textId="77777777" w:rsidR="0096674A" w:rsidRPr="008D5B5E" w:rsidRDefault="0096674A" w:rsidP="0096674A">
      <w:pPr>
        <w:numPr>
          <w:ilvl w:val="0"/>
          <w:numId w:val="7"/>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Improve Incident Response Procedures:</w:t>
      </w:r>
      <w:r w:rsidRPr="008D5B5E">
        <w:rPr>
          <w:rFonts w:ascii="Times New Roman" w:eastAsia="Google Sans" w:hAnsi="Times New Roman" w:cs="Times New Roman"/>
          <w:lang w:val="en-AU"/>
        </w:rPr>
        <w:t xml:space="preserve"> Enhance incident response plans by including more frequent and simulated breach drills. The team should be trained to quickly identify, contain, and respond to breaches with well-documented procedures to minimize damage.</w:t>
      </w:r>
    </w:p>
    <w:p w14:paraId="1300787C" w14:textId="77777777" w:rsidR="0096674A" w:rsidRPr="008D5B5E" w:rsidRDefault="0096674A" w:rsidP="0096674A">
      <w:pPr>
        <w:numPr>
          <w:ilvl w:val="0"/>
          <w:numId w:val="7"/>
        </w:numPr>
        <w:spacing w:line="360" w:lineRule="auto"/>
        <w:rPr>
          <w:rFonts w:ascii="Times New Roman" w:eastAsia="Google Sans" w:hAnsi="Times New Roman" w:cs="Times New Roman"/>
          <w:lang w:val="en-AU"/>
        </w:rPr>
      </w:pPr>
      <w:r w:rsidRPr="008D5B5E">
        <w:rPr>
          <w:rFonts w:ascii="Times New Roman" w:eastAsia="Google Sans" w:hAnsi="Times New Roman" w:cs="Times New Roman"/>
          <w:b/>
          <w:bCs/>
          <w:lang w:val="en-AU"/>
        </w:rPr>
        <w:t>Encrypt Sensitive Data:</w:t>
      </w:r>
      <w:r w:rsidRPr="008D5B5E">
        <w:rPr>
          <w:rFonts w:ascii="Times New Roman" w:eastAsia="Google Sans" w:hAnsi="Times New Roman" w:cs="Times New Roman"/>
          <w:lang w:val="en-AU"/>
        </w:rPr>
        <w:t xml:space="preserve"> Ensure that sensitive customer information, such as credit card details, is encrypted both at rest and in transit. This would prevent data exfiltration from being easily achieved even if access is compromised.</w:t>
      </w:r>
    </w:p>
    <w:p w14:paraId="141AF3A2" w14:textId="77777777" w:rsidR="0096674A" w:rsidRPr="008D5B5E" w:rsidRDefault="0096674A" w:rsidP="0096674A">
      <w:pPr>
        <w:spacing w:line="360" w:lineRule="auto"/>
        <w:rPr>
          <w:rFonts w:ascii="Times New Roman" w:eastAsia="Google Sans" w:hAnsi="Times New Roman" w:cs="Times New Roman"/>
          <w:lang w:val="en-AU"/>
        </w:rPr>
      </w:pPr>
      <w:r w:rsidRPr="008D5B5E">
        <w:rPr>
          <w:rFonts w:ascii="Times New Roman" w:eastAsia="Google Sans" w:hAnsi="Times New Roman" w:cs="Times New Roman"/>
          <w:lang w:val="en-AU"/>
        </w:rPr>
        <w:t>These measures, if implemented, will help prevent similar breaches in the future and strengthen the company’s overall security posture.</w:t>
      </w:r>
    </w:p>
    <w:p w14:paraId="602A83C3" w14:textId="77777777" w:rsidR="00FA7F86" w:rsidRDefault="00FA7F86">
      <w:pPr>
        <w:spacing w:line="360" w:lineRule="auto"/>
        <w:rPr>
          <w:rFonts w:ascii="Google Sans" w:eastAsia="Google Sans" w:hAnsi="Google Sans" w:cs="Google Sans"/>
          <w:color w:val="666666"/>
        </w:rPr>
      </w:pPr>
    </w:p>
    <w:p w14:paraId="5A0DB657" w14:textId="77777777" w:rsidR="00FA7F86" w:rsidRDefault="00FA7F86">
      <w:pPr>
        <w:spacing w:line="360" w:lineRule="auto"/>
      </w:pPr>
    </w:p>
    <w:sectPr w:rsidR="00FA7F8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5FCDC" w14:textId="77777777" w:rsidR="00586BC2" w:rsidRDefault="00586BC2">
      <w:pPr>
        <w:spacing w:line="240" w:lineRule="auto"/>
      </w:pPr>
      <w:r>
        <w:separator/>
      </w:r>
    </w:p>
  </w:endnote>
  <w:endnote w:type="continuationSeparator" w:id="0">
    <w:p w14:paraId="0A95F6B1" w14:textId="77777777" w:rsidR="00586BC2" w:rsidRDefault="00586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C3E8D" w14:textId="77777777" w:rsidR="00586BC2" w:rsidRDefault="00586BC2">
      <w:pPr>
        <w:spacing w:line="240" w:lineRule="auto"/>
      </w:pPr>
      <w:r>
        <w:separator/>
      </w:r>
    </w:p>
  </w:footnote>
  <w:footnote w:type="continuationSeparator" w:id="0">
    <w:p w14:paraId="67C29712" w14:textId="77777777" w:rsidR="00586BC2" w:rsidRDefault="00586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1B83B" w14:textId="77777777" w:rsidR="00FA7F86" w:rsidRDefault="00000000">
    <w:pPr>
      <w:jc w:val="right"/>
    </w:pPr>
    <w:r>
      <w:fldChar w:fldCharType="begin"/>
    </w:r>
    <w:r>
      <w:instrText>PAGE</w:instrText>
    </w:r>
    <w:r>
      <w:fldChar w:fldCharType="separate"/>
    </w:r>
    <w:r w:rsidR="0096674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3388"/>
    <w:multiLevelType w:val="hybridMultilevel"/>
    <w:tmpl w:val="9F4C9BB8"/>
    <w:lvl w:ilvl="0" w:tplc="0C09000F">
      <w:start w:val="1"/>
      <w:numFmt w:val="decimal"/>
      <w:lvlText w:val="%1."/>
      <w:lvlJc w:val="left"/>
      <w:pPr>
        <w:ind w:left="720" w:hanging="360"/>
      </w:pPr>
    </w:lvl>
    <w:lvl w:ilvl="1" w:tplc="67A81E1A">
      <w:numFmt w:val="bullet"/>
      <w:lvlText w:val=""/>
      <w:lvlJc w:val="left"/>
      <w:pPr>
        <w:ind w:left="1440" w:hanging="360"/>
      </w:pPr>
      <w:rPr>
        <w:rFonts w:ascii="Arial" w:eastAsia="Arial"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FA7A38"/>
    <w:multiLevelType w:val="multilevel"/>
    <w:tmpl w:val="0240A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9678F0"/>
    <w:multiLevelType w:val="hybridMultilevel"/>
    <w:tmpl w:val="9A1A838C"/>
    <w:lvl w:ilvl="0" w:tplc="5E8ECA5A">
      <w:numFmt w:val="bullet"/>
      <w:lvlText w:val=""/>
      <w:lvlJc w:val="left"/>
      <w:pPr>
        <w:ind w:left="720" w:hanging="360"/>
      </w:pPr>
      <w:rPr>
        <w:rFonts w:ascii="Google Sans" w:eastAsia="Google Sans" w:hAnsi="Google Sans" w:cs="Google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666C3"/>
    <w:multiLevelType w:val="hybridMultilevel"/>
    <w:tmpl w:val="7298B1AE"/>
    <w:lvl w:ilvl="0" w:tplc="FFFFFFFF">
      <w:start w:val="1"/>
      <w:numFmt w:val="decimal"/>
      <w:lvlText w:val="%1."/>
      <w:lvlJc w:val="left"/>
      <w:pPr>
        <w:ind w:left="720" w:hanging="360"/>
      </w:pPr>
    </w:lvl>
    <w:lvl w:ilvl="1" w:tplc="0C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51670F"/>
    <w:multiLevelType w:val="multilevel"/>
    <w:tmpl w:val="EB163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10597D"/>
    <w:multiLevelType w:val="multilevel"/>
    <w:tmpl w:val="C12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E43B2"/>
    <w:multiLevelType w:val="hybridMultilevel"/>
    <w:tmpl w:val="AC5849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9354441">
    <w:abstractNumId w:val="1"/>
  </w:num>
  <w:num w:numId="2" w16cid:durableId="486215328">
    <w:abstractNumId w:val="4"/>
  </w:num>
  <w:num w:numId="3" w16cid:durableId="186018499">
    <w:abstractNumId w:val="0"/>
  </w:num>
  <w:num w:numId="4" w16cid:durableId="1211579623">
    <w:abstractNumId w:val="2"/>
  </w:num>
  <w:num w:numId="5" w16cid:durableId="652411449">
    <w:abstractNumId w:val="6"/>
  </w:num>
  <w:num w:numId="6" w16cid:durableId="258636282">
    <w:abstractNumId w:val="3"/>
  </w:num>
  <w:num w:numId="7" w16cid:durableId="1107575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86"/>
    <w:rsid w:val="00502A48"/>
    <w:rsid w:val="00586BC2"/>
    <w:rsid w:val="008174C7"/>
    <w:rsid w:val="008D5B5E"/>
    <w:rsid w:val="0096674A"/>
    <w:rsid w:val="00DF3C8F"/>
    <w:rsid w:val="00FA7F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40DD"/>
  <w15:docId w15:val="{B73906AD-55F1-4F04-AC41-E7AC9743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4838">
      <w:bodyDiv w:val="1"/>
      <w:marLeft w:val="0"/>
      <w:marRight w:val="0"/>
      <w:marTop w:val="0"/>
      <w:marBottom w:val="0"/>
      <w:divBdr>
        <w:top w:val="none" w:sz="0" w:space="0" w:color="auto"/>
        <w:left w:val="none" w:sz="0" w:space="0" w:color="auto"/>
        <w:bottom w:val="none" w:sz="0" w:space="0" w:color="auto"/>
        <w:right w:val="none" w:sz="0" w:space="0" w:color="auto"/>
      </w:divBdr>
    </w:div>
    <w:div w:id="196822744">
      <w:bodyDiv w:val="1"/>
      <w:marLeft w:val="0"/>
      <w:marRight w:val="0"/>
      <w:marTop w:val="0"/>
      <w:marBottom w:val="0"/>
      <w:divBdr>
        <w:top w:val="none" w:sz="0" w:space="0" w:color="auto"/>
        <w:left w:val="none" w:sz="0" w:space="0" w:color="auto"/>
        <w:bottom w:val="none" w:sz="0" w:space="0" w:color="auto"/>
        <w:right w:val="none" w:sz="0" w:space="0" w:color="auto"/>
      </w:divBdr>
    </w:div>
    <w:div w:id="449475578">
      <w:bodyDiv w:val="1"/>
      <w:marLeft w:val="0"/>
      <w:marRight w:val="0"/>
      <w:marTop w:val="0"/>
      <w:marBottom w:val="0"/>
      <w:divBdr>
        <w:top w:val="none" w:sz="0" w:space="0" w:color="auto"/>
        <w:left w:val="none" w:sz="0" w:space="0" w:color="auto"/>
        <w:bottom w:val="none" w:sz="0" w:space="0" w:color="auto"/>
        <w:right w:val="none" w:sz="0" w:space="0" w:color="auto"/>
      </w:divBdr>
    </w:div>
    <w:div w:id="1091464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Samami</cp:lastModifiedBy>
  <cp:revision>4</cp:revision>
  <dcterms:created xsi:type="dcterms:W3CDTF">2024-10-14T23:09:00Z</dcterms:created>
  <dcterms:modified xsi:type="dcterms:W3CDTF">2024-10-22T22:10:00Z</dcterms:modified>
</cp:coreProperties>
</file>