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武汉东湖智能游艇示范项目 · PMO 管理方案</w:t>
      </w:r>
    </w:p>
    <w:p>
      <w:r>
        <w:rPr>
          <w:b/>
          <w:i w:val="0"/>
        </w:rPr>
        <w:t>关注问题清单 · 组织协同 · 时间计划 · 下一步行动策略（V1.0）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文档信息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阳新县仙岛湖 · 武汉东湖智能游艇示范项目</w:t>
            </w:r>
          </w:p>
        </w:tc>
      </w:tr>
      <w:tr>
        <w:tc>
          <w:tcPr>
            <w:tcW w:type="dxa" w:w="4320"/>
          </w:tcPr>
          <w:p>
            <w:r>
              <w:t>系统范围</w:t>
            </w:r>
          </w:p>
        </w:tc>
        <w:tc>
          <w:tcPr>
            <w:tcW w:type="dxa" w:w="4320"/>
          </w:tcPr>
          <w:p>
            <w:r>
              <w:t>驾控台（主/副）及智控系统</w:t>
            </w:r>
          </w:p>
        </w:tc>
      </w:tr>
      <w:tr>
        <w:tc>
          <w:tcPr>
            <w:tcW w:type="dxa" w:w="4320"/>
          </w:tcPr>
          <w:p>
            <w:r>
              <w:t>甲方</w:t>
            </w:r>
          </w:p>
        </w:tc>
        <w:tc>
          <w:tcPr>
            <w:tcW w:type="dxa" w:w="4320"/>
          </w:tcPr>
          <w:p>
            <w:r>
              <w:t>武船设计院 / 中南彭力</w:t>
            </w:r>
          </w:p>
        </w:tc>
      </w:tr>
      <w:tr>
        <w:tc>
          <w:tcPr>
            <w:tcW w:type="dxa" w:w="4320"/>
          </w:tcPr>
          <w:p>
            <w:r>
              <w:t>乙方</w:t>
            </w:r>
          </w:p>
        </w:tc>
        <w:tc>
          <w:tcPr>
            <w:tcW w:type="dxa" w:w="4320"/>
          </w:tcPr>
          <w:p>
            <w:r>
              <w:t>浦立泽</w:t>
            </w:r>
          </w:p>
        </w:tc>
      </w:tr>
      <w:tr>
        <w:tc>
          <w:tcPr>
            <w:tcW w:type="dxa" w:w="4320"/>
          </w:tcPr>
          <w:p>
            <w:r>
              <w:t>项目性质</w:t>
            </w:r>
          </w:p>
        </w:tc>
        <w:tc>
          <w:tcPr>
            <w:tcW w:type="dxa" w:w="4320"/>
          </w:tcPr>
          <w:p>
            <w:r>
              <w:t>量产工程交付项目（非概念样机）。管理重心：图纸会签、供应链与长周期物料、FAT/HAT/SAT 检验记录、质量追溯与 as-built 回灌——首制船的记录资产是后续批量复制的基础</w:t>
            </w:r>
          </w:p>
        </w:tc>
      </w:tr>
      <w:tr>
        <w:tc>
          <w:tcPr>
            <w:tcW w:type="dxa" w:w="4320"/>
          </w:tcPr>
          <w:p>
            <w:r>
              <w:t>依据材料</w:t>
            </w:r>
          </w:p>
        </w:tc>
        <w:tc>
          <w:tcPr>
            <w:tcW w:type="dxa" w:w="4320"/>
          </w:tcPr>
          <w:p>
            <w:r>
              <w:t>①《驾控台及智控系统技术方案（V2·对标升级版）》 ②《完整项目任务清单》（61 条 WBS，随 V2 发布）——两份均在本 Wiki 同级目录</w:t>
            </w:r>
          </w:p>
        </w:tc>
      </w:tr>
      <w:tr>
        <w:tc>
          <w:tcPr>
            <w:tcW w:type="dxa" w:w="4320"/>
          </w:tcPr>
          <w:p>
            <w:r>
              <w:t>文档定位</w:t>
            </w:r>
          </w:p>
        </w:tc>
        <w:tc>
          <w:tcPr>
            <w:tcW w:type="dxa" w:w="4320"/>
          </w:tcPr>
          <w:p>
            <w:r>
              <w:t>PMO 视角的管理方案。技术内容以 V2 方案为准，任务明细以任务清单为准；本文回答四件事：组织怎么摆、人怎么对接、时间怎么排、当前该盯什么</w:t>
            </w:r>
          </w:p>
        </w:tc>
      </w:tr>
      <w:tr>
        <w:tc>
          <w:tcPr>
            <w:tcW w:type="dxa" w:w="4320"/>
          </w:tcPr>
          <w:p>
            <w:r>
              <w:t>版本 / 日期</w:t>
            </w:r>
          </w:p>
        </w:tc>
        <w:tc>
          <w:tcPr>
            <w:tcW w:type="dxa" w:w="4320"/>
          </w:tcPr>
          <w:p>
            <w:r>
              <w:t>V1.0 / 2026-07-02，维护：PMO</w:t>
            </w:r>
          </w:p>
        </w:tc>
      </w:tr>
    </w:tbl>
    <w:p>
      <w:pPr>
        <w:pStyle w:val="Heading1"/>
      </w:pPr>
      <w:r>
        <w:t>一、摘要（一页读懂）</w:t>
      </w:r>
    </w:p>
    <w:p>
      <w:r>
        <w:rPr>
          <w:b/>
          <w:i w:val="0"/>
        </w:rPr>
        <w:t>三个判断：</w:t>
      </w:r>
    </w:p>
    <w:p>
      <w:pPr>
        <w:pStyle w:val="ListNumber"/>
      </w:pPr>
      <w:r>
        <w:t>技术侧成熟度高：V2 方案已完成 12 条待定项登记、6 类失效场景行为定义、FAT/HAT/SAT 三级验收框架；任务清单已展开为 61 条带责任方、前置依赖、关键路径标注的 WBS。工程内容“有图可依、有单可核”。</w:t>
      </w:r>
    </w:p>
    <w:p>
      <w:pPr>
        <w:pStyle w:val="ListNumber"/>
      </w:pPr>
      <w:r>
        <w:t>管理侧存在四个结构性空位，这是 PMO 当前的主战场：①技术协议签字页空白，M0 未达成，所有工作缺正式合同依据；②里程碑 M0–M6 没有任何日历日期，进度无法监控；③组织与联络矩阵未建立，甲方/船东/船厂/智舱（杭&amp;昆）/智控（外部）/712 所六方接口人无名单；④712 所、智控外部团队、船厂三个协同界面未书面化。</w:t>
      </w:r>
    </w:p>
    <w:p>
      <w:pPr>
        <w:pStyle w:val="ListNumber"/>
      </w:pPr>
      <w:r>
        <w:t>关键路径清晰且当前卡点明确：T1.1（副台面板矛盾）、T1.4（采集单元上行总线）、T1.5（手柄供电）三条澄清任务卡住正式接线图 T1.14，接线图是“接线图→配盘→FAT→安装→HAT→SAT→交付”整条关键路径的起点。</w:t>
      </w:r>
    </w:p>
    <w:p>
      <w:r>
        <w:rPr>
          <w:b/>
          <w:i w:val="0"/>
        </w:rPr>
        <w:t>本周必须启动的三件事：推动协议签署（Q1）；发出澄清函（Q3，覆盖 T1.1/T1.4/T1.5，并顺带 T1.2 智控退出条件）；建立六方组织与联络矩阵（Q4）。</w:t>
      </w:r>
    </w:p>
    <w:p>
      <w:r>
        <w:rPr>
          <w:b w:val="0"/>
          <w:i w:val="0"/>
        </w:rPr>
        <w:t>图示索引：图 1 组织协同拓扑（§三）· 图 2 系统技术拓扑（§四）· 图 3 阶段依赖与关键路径（§五）· 图 4 建议基线计划甘特（§五）。</w:t>
      </w:r>
    </w:p>
    <w:p>
      <w:pPr>
        <w:pStyle w:val="Heading1"/>
      </w:pPr>
      <w:r>
        <w:t>二、两份甲方材料的要点解读</w:t>
      </w:r>
    </w:p>
    <w:p>
      <w:pPr>
        <w:pStyle w:val="Heading2"/>
      </w:pPr>
      <w:r>
        <w:t>2.1 《技术方案 V2·对标升级版》要点</w:t>
      </w:r>
    </w:p>
    <w:p>
      <w:pPr>
        <w:pStyle w:val="ListBullet"/>
      </w:pPr>
      <w:r>
        <w:t>能力定位（第零章）：本项目“智控”= 电子遥控 + 目标角度闭环跟随，不含路径规划、避障、自主决策；对外口径必须统一（风险表 #5），防止甲方对能力边界产生错误预期。独有优势是双驾控台对等冗余 + 双 VCU 权限仲裁架构。</w:t>
      </w:r>
    </w:p>
    <w:p>
      <w:pPr>
        <w:pStyle w:val="ListBullet"/>
      </w:pPr>
      <w:r>
        <w:t>总体架构（第二章）：双 VCU（主驾驶室 + 飞桥各一套 712 VCU）经 CAN 互联做权限仲裁，切换前双台手柄必须回空挡；副驾控台为“级联简配”（1 根 CAN 网线 + 1 根六类 RJ45 从主台级联数据），无独立采控单元。</w:t>
      </w:r>
    </w:p>
    <w:p>
      <w:pPr>
        <w:pStyle w:val="ListBullet"/>
      </w:pPr>
      <w:r>
        <w:t>信号架构（第三章）：四类总线——CAN（实时闭环控制，经 VCU）、以太网（电池/直流板/视频/声呐，旁路 VCU 直连交换机）、RS485/232/模拟量（报警器/惯导/液位，经采集单元）、硬接线（急停/电源启停，物理旁路一切计算单元）。设计铁律：能停船的都是硬线，能优化操作的才上 CAN。</w:t>
      </w:r>
    </w:p>
    <w:p>
      <w:pPr>
        <w:pStyle w:val="ListBullet"/>
      </w:pPr>
      <w:r>
        <w:t>失效行为（§4.4，V2 新增设计要求）：CAN 中断、VCU 死机、惯导失锁、4G 断网、智控丢包、仲裁异常六个场景的确定性应对已定义，需写入详设（T1.12）并在 HAT 做故障注入验证（T5.5）。</w:t>
      </w:r>
    </w:p>
    <w:p>
      <w:pPr>
        <w:pStyle w:val="ListBullet"/>
      </w:pPr>
      <w:r>
        <w:t>开放事项（第八章）：12 条待定项（7 条影响关键路径）+ 5 条风险，全部有建议闭环方式——这是 PMO 台账的直接输入。</w:t>
      </w:r>
    </w:p>
    <w:p>
      <w:pPr>
        <w:pStyle w:val="ListBullet"/>
      </w:pPr>
      <w:r>
        <w:t>验收框架（第九章）：FAT 6 项 / HAT 5 项 / SAT 3 项 + 可用度目标（关键报警链路≥99%、基础链路稳定运行≥30 天）。注意：原协议只有 2 项出厂试验且“△”标记含义不明，检试大纲必须重新会签（T1.10），否则交船时对“合格”标准必起争议（风险 #4）。</w:t>
      </w:r>
    </w:p>
    <w:p>
      <w:pPr>
        <w:pStyle w:val="ListBullet"/>
      </w:pPr>
      <w:r>
        <w:t>可选项（第十/十一章）：网络安全网关、告警三级分层、健康评分三项需甲方书面决策，不默认计入本期报价与工期。</w:t>
      </w:r>
    </w:p>
    <w:p>
      <w:pPr>
        <w:pStyle w:val="ListBullet"/>
      </w:pPr>
      <w:r>
        <w:t>能力路线图（第十二章）：自主航行等“支柱二”能力不在本期供货范围，演进需独立立项。</w:t>
      </w:r>
    </w:p>
    <w:p>
      <w:pPr>
        <w:pStyle w:val="Heading2"/>
      </w:pPr>
      <w:r>
        <w:t>2.2 《完整项目任务清单》要点</w:t>
      </w:r>
    </w:p>
    <w:p>
      <w:pPr>
        <w:pStyle w:val="ListBullet"/>
      </w:pPr>
      <w:r>
        <w:t>61 条任务、8 个阶段（P0 立项 → P7 交付）+ 5 条贯穿性 PM 任务；其中 39 条在关键路径上，4 条为待甲方决策的〔可选〕项。</w:t>
      </w:r>
    </w:p>
    <w:p>
      <w:pPr>
        <w:pStyle w:val="ListBullet"/>
      </w:pPr>
      <w:r>
        <w:t>里程碑 M0 合同生效 → M1 详设冻结 → M2 出厂就绪 → M3 安装完成 → M4 系泊通过 → M5 航行通过 → M6 交付验收（含 ≥30 天稳定观察期）。</w:t>
      </w:r>
    </w:p>
    <w:p>
      <w:pPr>
        <w:pStyle w:val="ListBullet"/>
      </w:pPr>
      <w:r>
        <w:t>关键路径主链：T1.14 正式接线图 → T2.3 电气配盘 → P3 FAT → T4.8 驾控台就位 → P5 HAT → P6 SAT → M6。</w:t>
      </w:r>
    </w:p>
    <w:p>
      <w:pPr>
        <w:pStyle w:val="ListBullet"/>
      </w:pPr>
      <w:r>
        <w:t>三条使用提醒：①T1.1/T1.4/T1.5 本周就该发澄清函；②船厂线缆预铺 T4.1 只依赖线缆规格确认 T1.6，不必等 FAT，尽早启动可把船厂工序移出关键路径；③三个可选项决策截止 = M1，逾期默认不实施并书面留痕。</w:t>
      </w:r>
    </w:p>
    <w:p>
      <w:pPr>
        <w:pStyle w:val="Heading1"/>
      </w:pPr>
      <w:r>
        <w:t>三、组织架构与协同人员</w:t>
      </w:r>
    </w:p>
    <w:p>
      <w:r>
        <w:rPr>
          <w:b w:val="0"/>
          <w:i w:val="0"/>
        </w:rPr>
        <w:t>六方协作结构与五条协同缝如下图。橙色虚线框 = 当前缺失/待落名项。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81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1-org-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　组织协同拓扑（六方 + 五条协同缝）</w:t>
      </w:r>
    </w:p>
    <w:p>
      <w:pPr>
        <w:pStyle w:val="Heading2"/>
      </w:pPr>
      <w:r>
        <w:t>3.1 六方角色与职责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组织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角色定位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主要职责（依据材料）</w:t>
            </w:r>
          </w:p>
        </w:tc>
      </w:tr>
      <w:tr>
        <w:tc>
          <w:tcPr>
            <w:tcW w:type="dxa" w:w="2880"/>
          </w:tcPr>
          <w:p>
            <w:r>
              <w:t>甲方：武船设计院 / 中南彭力</w:t>
            </w:r>
          </w:p>
        </w:tc>
        <w:tc>
          <w:tcPr>
            <w:tcW w:type="dxa" w:w="2880"/>
          </w:tcPr>
          <w:p>
            <w:r>
              <w:t>需求与决策方</w:t>
            </w:r>
          </w:p>
        </w:tc>
        <w:tc>
          <w:tcPr>
            <w:tcW w:type="dxa" w:w="2880"/>
          </w:tcPr>
          <w:p>
            <w:r>
              <w:t>协议签署；澄清函答复；认可图/检试大纲会签；三个可选项决策；出厂试验见证；验收</w:t>
            </w:r>
          </w:p>
        </w:tc>
      </w:tr>
      <w:tr>
        <w:tc>
          <w:tcPr>
            <w:tcW w:type="dxa" w:w="2880"/>
          </w:tcPr>
          <w:p>
            <w:r>
              <w:t>船东</w:t>
            </w:r>
          </w:p>
        </w:tc>
        <w:tc>
          <w:tcPr>
            <w:tcW w:type="dxa" w:w="2880"/>
          </w:tcPr>
          <w:p>
            <w:r>
              <w:t>使用方</w:t>
            </w:r>
          </w:p>
        </w:tc>
        <w:tc>
          <w:tcPr>
            <w:tcW w:type="dxa" w:w="2880"/>
          </w:tcPr>
          <w:p>
            <w:r>
              <w:t>五方验收之一；稳定观察期使用反馈；培训对象</w:t>
            </w:r>
          </w:p>
        </w:tc>
      </w:tr>
      <w:tr>
        <w:tc>
          <w:tcPr>
            <w:tcW w:type="dxa" w:w="2880"/>
          </w:tcPr>
          <w:p>
            <w:r>
              <w:t>船厂</w:t>
            </w:r>
          </w:p>
        </w:tc>
        <w:tc>
          <w:tcPr>
            <w:tcW w:type="dxa" w:w="2880"/>
          </w:tcPr>
          <w:p>
            <w:r>
              <w:t>现场施工方</w:t>
            </w:r>
          </w:p>
        </w:tc>
        <w:tc>
          <w:tcPr>
            <w:tcW w:type="dxa" w:w="2880"/>
          </w:tcPr>
          <w:p>
            <w:r>
              <w:t>线缆预铺（T4.1）；外装设备安装（惯导/雷达/摄像头/喇叭/急停/声呐）；驾控台吊装就位；线缆长度实测（T1.6）；系泊/航行试验配合</w:t>
            </w:r>
          </w:p>
        </w:tc>
      </w:tr>
      <w:tr>
        <w:tc>
          <w:tcPr>
            <w:tcW w:type="dxa" w:w="2880"/>
          </w:tcPr>
          <w:p>
            <w:r>
              <w:t>乙方·智舱团队（杭州&amp;昆山）</w:t>
            </w:r>
          </w:p>
        </w:tc>
        <w:tc>
          <w:tcPr>
            <w:tcW w:type="dxa" w:w="2880"/>
          </w:tcPr>
          <w:p>
            <w:r>
              <w:t>供货与总集成责任主体</w:t>
            </w:r>
          </w:p>
        </w:tc>
        <w:tc>
          <w:tcPr>
            <w:tcW w:type="dxa" w:w="2880"/>
          </w:tcPr>
          <w:p>
            <w:r>
              <w:t>【驾控台】台体/人机硬件/显控软件；总集成；FAT 组织；随机文件与培训</w:t>
            </w:r>
          </w:p>
        </w:tc>
      </w:tr>
      <w:tr>
        <w:tc>
          <w:tcPr>
            <w:tcW w:type="dxa" w:w="2880"/>
          </w:tcPr>
          <w:p>
            <w:r>
              <w:t>乙方·智控团队（外部）</w:t>
            </w:r>
          </w:p>
        </w:tc>
        <w:tc>
          <w:tcPr>
            <w:tcW w:type="dxa" w:w="2880"/>
          </w:tcPr>
          <w:p>
            <w:r>
              <w:t>分系统供应方</w:t>
            </w:r>
          </w:p>
        </w:tc>
        <w:tc>
          <w:tcPr>
            <w:tcW w:type="dxa" w:w="2880"/>
          </w:tcPr>
          <w:p>
            <w:r>
              <w:t>【智控】采控单元/传感/网络/执行接口（协议转换盒、采集单元、交换机、惯导、声呐、雷达、视频、音频、4G）</w:t>
            </w:r>
          </w:p>
        </w:tc>
      </w:tr>
      <w:tr>
        <w:tc>
          <w:tcPr>
            <w:tcW w:type="dxa" w:w="2880"/>
          </w:tcPr>
          <w:p>
            <w:r>
              <w:t>712 所</w:t>
            </w:r>
          </w:p>
        </w:tc>
        <w:tc>
          <w:tcPr>
            <w:tcW w:type="dxa" w:w="2880"/>
          </w:tcPr>
          <w:p>
            <w:r>
              <w:t>关键部件供应 + 三电/机舱配合</w:t>
            </w:r>
          </w:p>
        </w:tc>
        <w:tc>
          <w:tcPr>
            <w:tcW w:type="dxa" w:w="2880"/>
          </w:tcPr>
          <w:p>
            <w:r>
              <w:t>VCU(712)×2 与 712 手柄供货；三电（推进控制箱/直流配电板/电池控制箱）接口协议与联调；机舱侧对接配合（T4.8）</w:t>
            </w:r>
          </w:p>
        </w:tc>
      </w:tr>
    </w:tbl>
    <w:p>
      <w:pPr>
        <w:pStyle w:val="Heading2"/>
      </w:pPr>
      <w:r>
        <w:t>3.2 五条协同缝：现状与风险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缝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双方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主要事务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现状与风险</w:t>
            </w:r>
          </w:p>
        </w:tc>
      </w:tr>
      <w:tr>
        <w:tc>
          <w:tcPr>
            <w:tcW w:type="dxa" w:w="2160"/>
          </w:tcPr>
          <w:p>
            <w:r>
              <w:t>缝 A 甲乙主缝</w:t>
            </w:r>
          </w:p>
        </w:tc>
        <w:tc>
          <w:tcPr>
            <w:tcW w:type="dxa" w:w="2160"/>
          </w:tcPr>
          <w:p>
            <w:r>
              <w:t>甲方 ↔ 乙方</w:t>
            </w:r>
          </w:p>
        </w:tc>
        <w:tc>
          <w:tcPr>
            <w:tcW w:type="dxa" w:w="2160"/>
          </w:tcPr>
          <w:p>
            <w:r>
              <w:t>协议、澄清函、会签、可选项决策、见证与验收</w:t>
            </w:r>
          </w:p>
        </w:tc>
        <w:tc>
          <w:tcPr>
            <w:tcW w:type="dxa" w:w="2160"/>
          </w:tcPr>
          <w:p>
            <w:r>
              <w:t>⚠️ 协议签字页空白（M0 未达成）；澄清函无接收人名单</w:t>
            </w:r>
          </w:p>
        </w:tc>
      </w:tr>
      <w:tr>
        <w:tc>
          <w:tcPr>
            <w:tcW w:type="dxa" w:w="2160"/>
          </w:tcPr>
          <w:p>
            <w:r>
              <w:t>缝 B 供货边界</w:t>
            </w:r>
          </w:p>
        </w:tc>
        <w:tc>
          <w:tcPr>
            <w:tcW w:type="dxa" w:w="2160"/>
          </w:tcPr>
          <w:p>
            <w:r>
              <w:t>智舱 ↔ 智控（外部）</w:t>
            </w:r>
          </w:p>
        </w:tc>
        <w:tc>
          <w:tcPr>
            <w:tcW w:type="dxa" w:w="2160"/>
          </w:tcPr>
          <w:p>
            <w:r>
              <w:t>设备与软件归属（显控软件 vs VCU 软件）、交付节点、结算界面</w:t>
            </w:r>
          </w:p>
        </w:tc>
        <w:tc>
          <w:tcPr>
            <w:tcW w:type="dxa" w:w="2160"/>
          </w:tcPr>
          <w:p>
            <w:r>
              <w:t>V2 §1.4 已有归属表，但显控屏存在两种口径（协议列在智控、物理职能在驾控台），需书面统一；外部团队合同/进度界面未见约定</w:t>
            </w:r>
          </w:p>
        </w:tc>
      </w:tr>
      <w:tr>
        <w:tc>
          <w:tcPr>
            <w:tcW w:type="dxa" w:w="2160"/>
          </w:tcPr>
          <w:p>
            <w:r>
              <w:t>缝 C 712 协同界面</w:t>
            </w:r>
          </w:p>
        </w:tc>
        <w:tc>
          <w:tcPr>
            <w:tcW w:type="dxa" w:w="2160"/>
          </w:tcPr>
          <w:p>
            <w:r>
              <w:t>乙方 ↔ 712 所</w:t>
            </w:r>
          </w:p>
        </w:tc>
        <w:tc>
          <w:tcPr>
            <w:tcW w:type="dxa" w:w="2160"/>
          </w:tcPr>
          <w:p>
            <w:r>
              <w:t>VCU/手柄到货节点、三电 CAN 协议与硬线急停接口、机舱侧对接条件</w:t>
            </w:r>
          </w:p>
        </w:tc>
        <w:tc>
          <w:tcPr>
            <w:tcW w:type="dxa" w:w="2160"/>
          </w:tcPr>
          <w:p>
            <w:r>
              <w:t>⚠️ 材料中 712 只作为设备来源出现，无到货排期、无接口冻结记录、无对接责任约定——直接影响 T2.3 配盘、T2.6 台架联试、T4.8 对接</w:t>
            </w:r>
          </w:p>
        </w:tc>
      </w:tr>
      <w:tr>
        <w:tc>
          <w:tcPr>
            <w:tcW w:type="dxa" w:w="2160"/>
          </w:tcPr>
          <w:p>
            <w:r>
              <w:t>缝 D 船厂界面</w:t>
            </w:r>
          </w:p>
        </w:tc>
        <w:tc>
          <w:tcPr>
            <w:tcW w:type="dxa" w:w="2160"/>
          </w:tcPr>
          <w:p>
            <w:r>
              <w:t>乙方 ↔ 船厂</w:t>
            </w:r>
          </w:p>
        </w:tc>
        <w:tc>
          <w:tcPr>
            <w:tcW w:type="dxa" w:w="2160"/>
          </w:tcPr>
          <w:p>
            <w:r>
              <w:t>预铺（T4.1）、外装安装、踏勘（T1.7）、施工交底（声呐通电前必须浸水）</w:t>
            </w:r>
          </w:p>
        </w:tc>
        <w:tc>
          <w:tcPr>
            <w:tcW w:type="dxa" w:w="2160"/>
          </w:tcPr>
          <w:p>
            <w:r>
              <w:t>预铺解耦是工期最大优化点，但需要船台计划配合；开孔参数已在安装图给出</w:t>
            </w:r>
          </w:p>
        </w:tc>
      </w:tr>
      <w:tr>
        <w:tc>
          <w:tcPr>
            <w:tcW w:type="dxa" w:w="2160"/>
          </w:tcPr>
          <w:p>
            <w:r>
              <w:t>缝 E 两地协同</w:t>
            </w:r>
          </w:p>
        </w:tc>
        <w:tc>
          <w:tcPr>
            <w:tcW w:type="dxa" w:w="2160"/>
          </w:tcPr>
          <w:p>
            <w:r>
              <w:t>杭州 ↔ 昆山（智舱内部）</w:t>
            </w:r>
          </w:p>
        </w:tc>
        <w:tc>
          <w:tcPr>
            <w:tcW w:type="dxa" w:w="2160"/>
          </w:tcPr>
          <w:p>
            <w:r>
              <w:t>台体/配盘/软件的两地分工与集成</w:t>
            </w:r>
          </w:p>
        </w:tc>
        <w:tc>
          <w:tcPr>
            <w:tcW w:type="dxa" w:w="2160"/>
          </w:tcPr>
          <w:p>
            <w:r>
              <w:t>⚠️ 分工与接口人待落名；建议明确各自交付物与集成责任人</w:t>
            </w:r>
          </w:p>
        </w:tc>
      </w:tr>
    </w:tbl>
    <w:p>
      <w:pPr>
        <w:pStyle w:val="Heading2"/>
      </w:pPr>
      <w:r>
        <w:t>3.3 协同人员矩阵（待落名——本周填实）</w:t>
      </w:r>
    </w:p>
    <w:p>
      <w:r>
        <w:rPr>
          <w:b w:val="0"/>
          <w:i w:val="0"/>
        </w:rPr>
        <w:t>规则：每个组织书面指定唯一技术接口人；外部单位另需商务/行政接口人。任何变更须通知 PMO 更新。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组织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职责边界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姓名/联系方式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甲方（设计院）</w:t>
            </w:r>
          </w:p>
        </w:tc>
        <w:tc>
          <w:tcPr>
            <w:tcW w:type="dxa" w:w="1728"/>
          </w:tcPr>
          <w:p>
            <w:r>
              <w:t>技术决策人</w:t>
            </w:r>
          </w:p>
        </w:tc>
        <w:tc>
          <w:tcPr>
            <w:tcW w:type="dxa" w:w="1728"/>
          </w:tcPr>
          <w:p>
            <w:r>
              <w:t>澄清函答复、认可图会签、可选项决策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甲方（中南彭力）</w:t>
            </w:r>
          </w:p>
        </w:tc>
        <w:tc>
          <w:tcPr>
            <w:tcW w:type="dxa" w:w="1728"/>
          </w:tcPr>
          <w:p>
            <w:r>
              <w:t>商务接口人</w:t>
            </w:r>
          </w:p>
        </w:tc>
        <w:tc>
          <w:tcPr>
            <w:tcW w:type="dxa" w:w="1728"/>
          </w:tcPr>
          <w:p>
            <w:r>
              <w:t>协议签署、商务变更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船东</w:t>
            </w:r>
          </w:p>
        </w:tc>
        <w:tc>
          <w:tcPr>
            <w:tcW w:type="dxa" w:w="1728"/>
          </w:tcPr>
          <w:p>
            <w:r>
              <w:t>验收接口人</w:t>
            </w:r>
          </w:p>
        </w:tc>
        <w:tc>
          <w:tcPr>
            <w:tcW w:type="dxa" w:w="1728"/>
          </w:tcPr>
          <w:p>
            <w:r>
              <w:t>五方验收、培训对象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船厂</w:t>
            </w:r>
          </w:p>
        </w:tc>
        <w:tc>
          <w:tcPr>
            <w:tcW w:type="dxa" w:w="1728"/>
          </w:tcPr>
          <w:p>
            <w:r>
              <w:t>现场负责人</w:t>
            </w:r>
          </w:p>
        </w:tc>
        <w:tc>
          <w:tcPr>
            <w:tcW w:type="dxa" w:w="1728"/>
          </w:tcPr>
          <w:p>
            <w:r>
              <w:t>预铺/安装/试验配合、船台计划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乙方</w:t>
            </w:r>
          </w:p>
        </w:tc>
        <w:tc>
          <w:tcPr>
            <w:tcW w:type="dxa" w:w="1728"/>
          </w:tcPr>
          <w:p>
            <w:r>
              <w:t>项目经理（PM）</w:t>
            </w:r>
          </w:p>
        </w:tc>
        <w:tc>
          <w:tcPr>
            <w:tcW w:type="dxa" w:w="1728"/>
          </w:tcPr>
          <w:p>
            <w:r>
              <w:t>全项目决策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乙方</w:t>
            </w:r>
          </w:p>
        </w:tc>
        <w:tc>
          <w:tcPr>
            <w:tcW w:type="dxa" w:w="1728"/>
          </w:tcPr>
          <w:p>
            <w:r>
              <w:t>PMO</w:t>
            </w:r>
          </w:p>
        </w:tc>
        <w:tc>
          <w:tcPr>
            <w:tcW w:type="dxa" w:w="1728"/>
          </w:tcPr>
          <w:p>
            <w:r>
              <w:t>台账/计划/风险/周报/多方协调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智舱团队·杭州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（按两地分工填写）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智舱团队·昆山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（按两地分工填写）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智控团队（外部）</w:t>
            </w:r>
          </w:p>
        </w:tc>
        <w:tc>
          <w:tcPr>
            <w:tcW w:type="dxa" w:w="1728"/>
          </w:tcPr>
          <w:p>
            <w:r>
              <w:t>技术接口人</w:t>
            </w:r>
          </w:p>
        </w:tc>
        <w:tc>
          <w:tcPr>
            <w:tcW w:type="dxa" w:w="1728"/>
          </w:tcPr>
          <w:p>
            <w:r>
              <w:t>采控/传感/网络分系统交付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智控团队（外部）</w:t>
            </w:r>
          </w:p>
        </w:tc>
        <w:tc>
          <w:tcPr>
            <w:tcW w:type="dxa" w:w="1728"/>
          </w:tcPr>
          <w:p>
            <w:r>
              <w:t>商务接口人</w:t>
            </w:r>
          </w:p>
        </w:tc>
        <w:tc>
          <w:tcPr>
            <w:tcW w:type="dxa" w:w="1728"/>
          </w:tcPr>
          <w:p>
            <w:r>
              <w:t>合同/进度承诺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712 所</w:t>
            </w:r>
          </w:p>
        </w:tc>
        <w:tc>
          <w:tcPr>
            <w:tcW w:type="dxa" w:w="1728"/>
          </w:tcPr>
          <w:p>
            <w:r>
              <w:t>技术接口人</w:t>
            </w:r>
          </w:p>
        </w:tc>
        <w:tc>
          <w:tcPr>
            <w:tcW w:type="dxa" w:w="1728"/>
          </w:tcPr>
          <w:p>
            <w:r>
              <w:t>VCU/手柄、三电接口协议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  <w:tr>
        <w:tc>
          <w:tcPr>
            <w:tcW w:type="dxa" w:w="1728"/>
          </w:tcPr>
          <w:p>
            <w:r>
              <w:t>712 所</w:t>
            </w:r>
          </w:p>
        </w:tc>
        <w:tc>
          <w:tcPr>
            <w:tcW w:type="dxa" w:w="1728"/>
          </w:tcPr>
          <w:p>
            <w:r>
              <w:t>机舱配合接口人</w:t>
            </w:r>
          </w:p>
        </w:tc>
        <w:tc>
          <w:tcPr>
            <w:tcW w:type="dxa" w:w="1728"/>
          </w:tcPr>
          <w:p>
            <w:r>
              <w:t>机舱侧对接（T4.8）</w:t>
            </w:r>
          </w:p>
        </w:tc>
        <w:tc>
          <w:tcPr>
            <w:tcW w:type="dxa" w:w="1728"/>
          </w:tcPr>
          <w:p>
            <w:r>
              <w:t>——</w:t>
            </w:r>
          </w:p>
        </w:tc>
        <w:tc>
          <w:tcPr>
            <w:tcW w:type="dxa" w:w="1728"/>
          </w:tcPr>
          <w:p>
            <w:r>
              <w:t>⚠️ 待落名</w:t>
            </w:r>
          </w:p>
        </w:tc>
      </w:tr>
    </w:tbl>
    <w:p>
      <w:pPr>
        <w:pStyle w:val="Heading2"/>
      </w:pPr>
      <w:r>
        <w:t>3.4 关键事项 RACI</w:t>
      </w:r>
    </w:p>
    <w:p>
      <w:r>
        <w:rPr>
          <w:b w:val="0"/>
          <w:i w:val="0"/>
        </w:rPr>
        <w:t>R=执行　A=负责拍板　C=须咨询/会签　I=须知会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事项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甲方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乙方PM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PMO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智舱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智控(外)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712所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船厂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船东</w:t>
            </w:r>
          </w:p>
        </w:tc>
      </w:tr>
      <w:tr>
        <w:tc>
          <w:tcPr>
            <w:tcW w:type="dxa" w:w="960"/>
          </w:tcPr>
          <w:p>
            <w:r>
              <w:t>协议签署（T0.1）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R(跟催)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澄清函三项（T1.1/1.4/1.5）</w:t>
            </w:r>
          </w:p>
        </w:tc>
        <w:tc>
          <w:tcPr>
            <w:tcW w:type="dxa" w:w="960"/>
          </w:tcPr>
          <w:p>
            <w:r>
              <w:t>C(答复)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R(流程)</w:t>
            </w:r>
          </w:p>
        </w:tc>
        <w:tc>
          <w:tcPr>
            <w:tcW w:type="dxa" w:w="960"/>
          </w:tcPr>
          <w:p>
            <w:r>
              <w:t>R(起草)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C(手柄/VCU相关)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正式接线图/认可图（T1.14）</w:t>
            </w:r>
          </w:p>
        </w:tc>
        <w:tc>
          <w:tcPr>
            <w:tcW w:type="dxa" w:w="960"/>
          </w:tcPr>
          <w:p>
            <w:r>
              <w:t>C(会签)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R(跟催)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检试大纲（T1.10）</w:t>
            </w:r>
          </w:p>
        </w:tc>
        <w:tc>
          <w:tcPr>
            <w:tcW w:type="dxa" w:w="960"/>
          </w:tcPr>
          <w:p>
            <w:r>
              <w:t>C(会签)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R(组织)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可选项决策（网关/告警/评分）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R(截止提醒)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长周期物料下单（T2.1）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R(交期台账)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R(所供部分)</w:t>
            </w:r>
          </w:p>
        </w:tc>
        <w:tc>
          <w:tcPr>
            <w:tcW w:type="dxa" w:w="960"/>
          </w:tcPr>
          <w:p>
            <w:r>
              <w:t>C(VCU/手柄)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船厂预铺（T4.1）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R(协调)</w:t>
            </w:r>
          </w:p>
        </w:tc>
        <w:tc>
          <w:tcPr>
            <w:tcW w:type="dxa" w:w="960"/>
          </w:tcPr>
          <w:p>
            <w:r>
              <w:t>C(线缆清单)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机舱侧对接（T4.8）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R(协调)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C(配合)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FAT 见证（T3.6）</w:t>
            </w:r>
          </w:p>
        </w:tc>
        <w:tc>
          <w:tcPr>
            <w:tcW w:type="dxa" w:w="960"/>
          </w:tcPr>
          <w:p>
            <w:r>
              <w:t>C(到场)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R(组织)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HAT/SAT/失效注入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R(组织)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R(配合)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五方验收（T7.4）</w:t>
            </w:r>
          </w:p>
        </w:tc>
        <w:tc>
          <w:tcPr>
            <w:tcW w:type="dxa" w:w="960"/>
          </w:tcPr>
          <w:p>
            <w:r>
              <w:t>C(签字)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R(组织)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C(签字)</w:t>
            </w:r>
          </w:p>
        </w:tc>
        <w:tc>
          <w:tcPr>
            <w:tcW w:type="dxa" w:w="960"/>
          </w:tcPr>
          <w:p>
            <w:r>
              <w:t>C(签字)</w:t>
            </w:r>
          </w:p>
        </w:tc>
      </w:tr>
    </w:tbl>
    <w:p>
      <w:pPr>
        <w:pStyle w:val="Heading1"/>
      </w:pPr>
      <w:r>
        <w:t>四、系统技术拓扑与供货边界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26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2-tech-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　系统技术拓扑（双驾控台双 VCU · 四总线 · 控制/安全通道分离；红色=硬接线安全通道）</w:t>
      </w:r>
    </w:p>
    <w:p>
      <w:pPr>
        <w:pStyle w:val="Heading2"/>
      </w:pPr>
      <w:r>
        <w:t>4.1 供货与软件边界（摘自 V2 §1.4，缝 B 的依据）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归属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硬件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软件</w:t>
            </w:r>
          </w:p>
        </w:tc>
      </w:tr>
      <w:tr>
        <w:tc>
          <w:tcPr>
            <w:tcW w:type="dxa" w:w="2880"/>
          </w:tcPr>
          <w:p>
            <w:r>
              <w:t>【驾控台】（智舱团队）</w:t>
            </w:r>
          </w:p>
        </w:tc>
        <w:tc>
          <w:tcPr>
            <w:tcW w:type="dxa" w:w="2880"/>
          </w:tcPr>
          <w:p>
            <w:r>
              <w:t>台体（碳纤维 IP44）、控制接线板/按键面板、急停旋钮、推进手柄、电子方向机、供电模块、端子排、15.6 寸显控屏×4</w:t>
            </w:r>
          </w:p>
        </w:tc>
        <w:tc>
          <w:tcPr>
            <w:tcW w:type="dxa" w:w="2880"/>
          </w:tcPr>
          <w:p>
            <w:r>
              <w:t>显控软件：双屏页面、状态/报警上屏、权限切换 UI、〔可选〕告警分级与健康评分展示</w:t>
            </w:r>
          </w:p>
        </w:tc>
      </w:tr>
      <w:tr>
        <w:tc>
          <w:tcPr>
            <w:tcW w:type="dxa" w:w="2880"/>
          </w:tcPr>
          <w:p>
            <w:r>
              <w:t>【智控】（智控团队·外部）</w:t>
            </w:r>
          </w:p>
        </w:tc>
        <w:tc>
          <w:tcPr>
            <w:tcW w:type="dxa" w:w="2880"/>
          </w:tcPr>
          <w:p>
            <w:r>
              <w:t>VCU(712)×2、协议转换盒、按键/电源采集、报警数采、串口解析、数字量控制、8/5 口交换机、CAN 集线器、惯导、声呐、毫米波雷达、摄像头×5+NVR+边缘盒、音频、4G 路由、现场急停、〔可选〕网关</w:t>
            </w:r>
          </w:p>
        </w:tc>
        <w:tc>
          <w:tcPr>
            <w:tcW w:type="dxa" w:w="2880"/>
          </w:tcPr>
          <w:p>
            <w:r>
              <w:t>VCU 控制软件：主副权限仲裁、INT/EXT 模式切换、失效行为（§4.4）、吊舱角度闭环</w:t>
            </w:r>
          </w:p>
        </w:tc>
      </w:tr>
      <w:tr>
        <w:tc>
          <w:tcPr>
            <w:tcW w:type="dxa" w:w="2880"/>
          </w:tcPr>
          <w:p>
            <w:r>
              <w:t>【通用】</w:t>
            </w:r>
          </w:p>
        </w:tc>
        <w:tc>
          <w:tcPr>
            <w:tcW w:type="dxa" w:w="2880"/>
          </w:tcPr>
          <w:p>
            <w:r>
              <w:t>跨两者线缆、安装附件、包装运输</w:t>
            </w:r>
          </w:p>
        </w:tc>
        <w:tc>
          <w:tcPr>
            <w:tcW w:type="dxa" w:w="2880"/>
          </w:tcPr>
          <w:p>
            <w:r>
              <w:t>检试大纲、随机文件、培训等交付类工作</w:t>
            </w:r>
          </w:p>
        </w:tc>
      </w:tr>
    </w:tbl>
    <w:p>
      <w:r>
        <w:rPr>
          <w:b w:val="0"/>
          <w:i w:val="0"/>
        </w:rPr>
        <w:t>⚠️ 注意两处边界口径问题：①显控屏在协议 §1.2 列于智控类别，物理与职能归驾控台——正式供货清单必须统一口径；②VCU 硬件由 712 所供货、VCU 软件逻辑归智控口径——缝 B 与缝 C 在 VCU 上交汇，权责必须一次说清（谁保证到货、谁负责软件、谁负责联调）。</w:t>
      </w:r>
    </w:p>
    <w:p>
      <w:pPr>
        <w:pStyle w:val="Heading2"/>
      </w:pPr>
      <w:r>
        <w:t>4.2 对外接口界面清单（缝 C / 缝 D 的书面化对象）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界面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对方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载体/冻结方式</w:t>
            </w:r>
          </w:p>
        </w:tc>
      </w:tr>
      <w:tr>
        <w:tc>
          <w:tcPr>
            <w:tcW w:type="dxa" w:w="2160"/>
          </w:tcPr>
          <w:p>
            <w:r>
              <w:t>推进控制接口</w:t>
            </w:r>
          </w:p>
        </w:tc>
        <w:tc>
          <w:tcPr>
            <w:tcW w:type="dxa" w:w="2160"/>
          </w:tcPr>
          <w:p>
            <w:r>
              <w:t>712 所（三电）</w:t>
            </w:r>
          </w:p>
        </w:tc>
        <w:tc>
          <w:tcPr>
            <w:tcW w:type="dxa" w:w="2160"/>
          </w:tcPr>
          <w:p>
            <w:r>
              <w:t>CAN 启停/故障/复位协议；1#/2# 推进急停硬接线；4-20mA 转速反馈（若螺旋桨方案，本船吊舱方案不适用）</w:t>
            </w:r>
          </w:p>
        </w:tc>
        <w:tc>
          <w:tcPr>
            <w:tcW w:type="dxa" w:w="2160"/>
          </w:tcPr>
          <w:p>
            <w:r>
              <w:t>接口协议文本 + 正式接线图会签</w:t>
            </w:r>
          </w:p>
        </w:tc>
      </w:tr>
      <w:tr>
        <w:tc>
          <w:tcPr>
            <w:tcW w:type="dxa" w:w="2160"/>
          </w:tcPr>
          <w:p>
            <w:r>
              <w:t>电池/直流板接口</w:t>
            </w:r>
          </w:p>
        </w:tc>
        <w:tc>
          <w:tcPr>
            <w:tcW w:type="dxa" w:w="2160"/>
          </w:tcPr>
          <w:p>
            <w:r>
              <w:t>712 所（三电）</w:t>
            </w:r>
          </w:p>
        </w:tc>
        <w:tc>
          <w:tcPr>
            <w:tcW w:type="dxa" w:w="2160"/>
          </w:tcPr>
          <w:p>
            <w:r>
              <w:t>以太网数据协议（Excel 出现 Modbus TCP 字样但未指明挂载单元→澄清项 #4）；电源/电池急停硬接线</w:t>
            </w:r>
          </w:p>
        </w:tc>
        <w:tc>
          <w:tcPr>
            <w:tcW w:type="dxa" w:w="2160"/>
          </w:tcPr>
          <w:p>
            <w:r>
              <w:t>上行总线分配表（T1.4）+ 接线图</w:t>
            </w:r>
          </w:p>
        </w:tc>
      </w:tr>
      <w:tr>
        <w:tc>
          <w:tcPr>
            <w:tcW w:type="dxa" w:w="2160"/>
          </w:tcPr>
          <w:p>
            <w:r>
              <w:t>VCU/手柄供货</w:t>
            </w:r>
          </w:p>
        </w:tc>
        <w:tc>
          <w:tcPr>
            <w:tcW w:type="dxa" w:w="2160"/>
          </w:tcPr>
          <w:p>
            <w:r>
              <w:t>712 所</w:t>
            </w:r>
          </w:p>
        </w:tc>
        <w:tc>
          <w:tcPr>
            <w:tcW w:type="dxa" w:w="2160"/>
          </w:tcPr>
          <w:p>
            <w:r>
              <w:t>VCU(712)×2、712 手柄（CAN+模拟量）到货节点与验收标准</w:t>
            </w:r>
          </w:p>
        </w:tc>
        <w:tc>
          <w:tcPr>
            <w:tcW w:type="dxa" w:w="2160"/>
          </w:tcPr>
          <w:p>
            <w:r>
              <w:t>采购/协作协议 + 到货计划</w:t>
            </w:r>
          </w:p>
        </w:tc>
      </w:tr>
      <w:tr>
        <w:tc>
          <w:tcPr>
            <w:tcW w:type="dxa" w:w="2160"/>
          </w:tcPr>
          <w:p>
            <w:r>
              <w:t>机舱侧对接</w:t>
            </w:r>
          </w:p>
        </w:tc>
        <w:tc>
          <w:tcPr>
            <w:tcW w:type="dxa" w:w="2160"/>
          </w:tcPr>
          <w:p>
            <w:r>
              <w:t>712 所 + 船厂</w:t>
            </w:r>
          </w:p>
        </w:tc>
        <w:tc>
          <w:tcPr>
            <w:tcW w:type="dxa" w:w="2160"/>
          </w:tcPr>
          <w:p>
            <w:r>
              <w:t>推进控制箱/直流板/电池箱/风机端子对接（T4.8）</w:t>
            </w:r>
          </w:p>
        </w:tc>
        <w:tc>
          <w:tcPr>
            <w:tcW w:type="dxa" w:w="2160"/>
          </w:tcPr>
          <w:p>
            <w:r>
              <w:t>对接条件清单 + 现场签证</w:t>
            </w:r>
          </w:p>
        </w:tc>
      </w:tr>
      <w:tr>
        <w:tc>
          <w:tcPr>
            <w:tcW w:type="dxa" w:w="2160"/>
          </w:tcPr>
          <w:p>
            <w:r>
              <w:t>预铺线缆</w:t>
            </w:r>
          </w:p>
        </w:tc>
        <w:tc>
          <w:tcPr>
            <w:tcW w:type="dxa" w:w="2160"/>
          </w:tcPr>
          <w:p>
            <w:r>
              <w:t>船厂</w:t>
            </w:r>
          </w:p>
        </w:tc>
        <w:tc>
          <w:tcPr>
            <w:tcW w:type="dxa" w:w="2160"/>
          </w:tcPr>
          <w:p>
            <w:r>
              <w:t>六类网线×5、CAN 定制线、电池网线、音频线、急停线×4（自制）；长度按 T1.6 实测</w:t>
            </w:r>
          </w:p>
        </w:tc>
        <w:tc>
          <w:tcPr>
            <w:tcW w:type="dxa" w:w="2160"/>
          </w:tcPr>
          <w:p>
            <w:r>
              <w:t>预铺清单 + 通断测试记录</w:t>
            </w:r>
          </w:p>
        </w:tc>
      </w:tr>
      <w:tr>
        <w:tc>
          <w:tcPr>
            <w:tcW w:type="dxa" w:w="2160"/>
          </w:tcPr>
          <w:p>
            <w:r>
              <w:t>外装安装</w:t>
            </w:r>
          </w:p>
        </w:tc>
        <w:tc>
          <w:tcPr>
            <w:tcW w:type="dxa" w:w="2160"/>
          </w:tcPr>
          <w:p>
            <w:r>
              <w:t>船厂</w:t>
            </w:r>
          </w:p>
        </w:tc>
        <w:tc>
          <w:tcPr>
            <w:tcW w:type="dxa" w:w="2160"/>
          </w:tcPr>
          <w:p>
            <w:r>
              <w:t>惯导天线（∅147.5mm 开孔、间距 1.5m）、雷达（船首嵌入）、喇叭（∅130mm）、后甲板急停（∅22mm）、声呐（通电前必须浸水，写入施工交底）</w:t>
            </w:r>
          </w:p>
        </w:tc>
        <w:tc>
          <w:tcPr>
            <w:tcW w:type="dxa" w:w="2160"/>
          </w:tcPr>
          <w:p>
            <w:r>
              <w:t>安装图 + 施工交底签字</w:t>
            </w:r>
          </w:p>
        </w:tc>
      </w:tr>
    </w:tbl>
    <w:p>
      <w:pPr>
        <w:pStyle w:val="Heading1"/>
      </w:pPr>
      <w:r>
        <w:t>五、时间计划</w:t>
      </w:r>
    </w:p>
    <w:p>
      <w:r>
        <w:rPr>
          <w:b/>
          <w:i w:val="0"/>
        </w:rPr>
        <w:t>重要前提：两份材料均未给出任何日历日期——里程碑只有定义、没有时间。以下为 PMO 建议基线（按周排，W1 = M0 签约周），协议签署后立即换算为日历日期并作为正式基线发布（T0.3）。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29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3-critical-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3　阶段依赖与关键路径（红=关键路径；蓝=预铺解耦支线；橙虚线=当前卡点）</w:t>
      </w:r>
    </w:p>
    <w:p>
      <w:pPr>
        <w:pStyle w:val="Heading2"/>
      </w:pPr>
      <w:r>
        <w:t>5.1 里程碑定义（摘自任务清单 §1.2）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里程碑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完成标准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建议周次（草案）</w:t>
            </w:r>
          </w:p>
        </w:tc>
      </w:tr>
      <w:tr>
        <w:tc>
          <w:tcPr>
            <w:tcW w:type="dxa" w:w="2880"/>
          </w:tcPr>
          <w:p>
            <w:r>
              <w:t>M0 合同生效</w:t>
            </w:r>
          </w:p>
        </w:tc>
        <w:tc>
          <w:tcPr>
            <w:tcW w:type="dxa" w:w="2880"/>
          </w:tcPr>
          <w:p>
            <w:r>
              <w:t>技术协议双方签字（现签字页空白）</w:t>
            </w:r>
          </w:p>
        </w:tc>
        <w:tc>
          <w:tcPr>
            <w:tcW w:type="dxa" w:w="2880"/>
          </w:tcPr>
          <w:p>
            <w:r>
              <w:t>W2</w:t>
            </w:r>
          </w:p>
        </w:tc>
      </w:tr>
      <w:tr>
        <w:tc>
          <w:tcPr>
            <w:tcW w:type="dxa" w:w="2880"/>
          </w:tcPr>
          <w:p>
            <w:r>
              <w:t>M1 详设冻结</w:t>
            </w:r>
          </w:p>
        </w:tc>
        <w:tc>
          <w:tcPr>
            <w:tcW w:type="dxa" w:w="2880"/>
          </w:tcPr>
          <w:p>
            <w:r>
              <w:t>影响关键路径的 7 条待定项闭环；接线图+认可图会签；检试大纲会签</w:t>
            </w:r>
          </w:p>
        </w:tc>
        <w:tc>
          <w:tcPr>
            <w:tcW w:type="dxa" w:w="2880"/>
          </w:tcPr>
          <w:p>
            <w:r>
              <w:t>W5</w:t>
            </w:r>
          </w:p>
        </w:tc>
      </w:tr>
      <w:tr>
        <w:tc>
          <w:tcPr>
            <w:tcW w:type="dxa" w:w="2880"/>
          </w:tcPr>
          <w:p>
            <w:r>
              <w:t>M2 出厂就绪</w:t>
            </w:r>
          </w:p>
        </w:tc>
        <w:tc>
          <w:tcPr>
            <w:tcW w:type="dxa" w:w="2880"/>
          </w:tcPr>
          <w:p>
            <w:r>
              <w:t>台体+配盘+软件完成，FAT 六项通过，合格证/报告齐套</w:t>
            </w:r>
          </w:p>
        </w:tc>
        <w:tc>
          <w:tcPr>
            <w:tcW w:type="dxa" w:w="2880"/>
          </w:tcPr>
          <w:p>
            <w:r>
              <w:t>W13</w:t>
            </w:r>
          </w:p>
        </w:tc>
      </w:tr>
      <w:tr>
        <w:tc>
          <w:tcPr>
            <w:tcW w:type="dxa" w:w="2880"/>
          </w:tcPr>
          <w:p>
            <w:r>
              <w:t>M3 安装完成</w:t>
            </w:r>
          </w:p>
        </w:tc>
        <w:tc>
          <w:tcPr>
            <w:tcW w:type="dxa" w:w="2880"/>
          </w:tcPr>
          <w:p>
            <w:r>
              <w:t>预铺+外装+驾控台就位+机舱对接完成</w:t>
            </w:r>
          </w:p>
        </w:tc>
        <w:tc>
          <w:tcPr>
            <w:tcW w:type="dxa" w:w="2880"/>
          </w:tcPr>
          <w:p>
            <w:r>
              <w:t>W16</w:t>
            </w:r>
          </w:p>
        </w:tc>
      </w:tr>
      <w:tr>
        <w:tc>
          <w:tcPr>
            <w:tcW w:type="dxa" w:w="2880"/>
          </w:tcPr>
          <w:p>
            <w:r>
              <w:t>M4 系泊通过</w:t>
            </w:r>
          </w:p>
        </w:tc>
        <w:tc>
          <w:tcPr>
            <w:tcW w:type="dxa" w:w="2880"/>
          </w:tcPr>
          <w:p>
            <w:r>
              <w:t>HAT 五项（含失效注入）通过</w:t>
            </w:r>
          </w:p>
        </w:tc>
        <w:tc>
          <w:tcPr>
            <w:tcW w:type="dxa" w:w="2880"/>
          </w:tcPr>
          <w:p>
            <w:r>
              <w:t>W18</w:t>
            </w:r>
          </w:p>
        </w:tc>
      </w:tr>
      <w:tr>
        <w:tc>
          <w:tcPr>
            <w:tcW w:type="dxa" w:w="2880"/>
          </w:tcPr>
          <w:p>
            <w:r>
              <w:t>M5 航行通过</w:t>
            </w:r>
          </w:p>
        </w:tc>
        <w:tc>
          <w:tcPr>
            <w:tcW w:type="dxa" w:w="2880"/>
          </w:tcPr>
          <w:p>
            <w:r>
              <w:t>SAT 三项通过 + 吊舱映射标定完成</w:t>
            </w:r>
          </w:p>
        </w:tc>
        <w:tc>
          <w:tcPr>
            <w:tcW w:type="dxa" w:w="2880"/>
          </w:tcPr>
          <w:p>
            <w:r>
              <w:t>W20</w:t>
            </w:r>
          </w:p>
        </w:tc>
      </w:tr>
      <w:tr>
        <w:tc>
          <w:tcPr>
            <w:tcW w:type="dxa" w:w="2880"/>
          </w:tcPr>
          <w:p>
            <w:r>
              <w:t>M6 交付验收</w:t>
            </w:r>
          </w:p>
        </w:tc>
        <w:tc>
          <w:tcPr>
            <w:tcW w:type="dxa" w:w="2880"/>
          </w:tcPr>
          <w:p>
            <w:r>
              <w:t>≥30 天稳定观察达标（可用度≥99%），五方签字，培训与文件交付</w:t>
            </w:r>
          </w:p>
        </w:tc>
        <w:tc>
          <w:tcPr>
            <w:tcW w:type="dxa" w:w="2880"/>
          </w:tcPr>
          <w:p>
            <w:r>
              <w:t>W26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0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4-gan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4　建议基线计划甘特（PMO 草案 · 总工期约 26 周 · 红=关键路径）</w:t>
      </w:r>
    </w:p>
    <w:p>
      <w:pPr>
        <w:pStyle w:val="Heading2"/>
      </w:pPr>
      <w:r>
        <w:t>5.2 计划要点</w:t>
      </w:r>
    </w:p>
    <w:p>
      <w:pPr>
        <w:pStyle w:val="ListBullet"/>
      </w:pPr>
      <w:r>
        <w:t>关键路径：澄清三项 → T1.14 接线图（M1）→ 长周期采购/配盘 → FAT（M2）→ 安装对接（M3）→ HAT（M4）→ SAT（M5）→ 30 天观察 → 交付（M6）。</w:t>
      </w:r>
    </w:p>
    <w:p>
      <w:pPr>
        <w:pStyle w:val="ListBullet"/>
      </w:pPr>
      <w:r>
        <w:t>最大不确定项：T2.1 长周期物料交期（显控屏×4、惯导、声呐、毫米波雷达、NVR/摄像头、交换机、采控单元）。材料未给交期数据——下单前必须逐项拿到书面交期承诺，任何一项超过 5 周即改写关键路径。</w:t>
      </w:r>
    </w:p>
    <w:p>
      <w:pPr>
        <w:pStyle w:val="ListBullet"/>
      </w:pPr>
      <w:r>
        <w:t>并行提效：①T4.1 船厂预铺只依赖线缆长度确认（T1.6），建议 W6–W8 与制造并行完成，把船厂移出关键路径；②台体制造与物料采购并行；③软件/VCU 台架联试与配盘并行。</w:t>
      </w:r>
    </w:p>
    <w:p>
      <w:pPr>
        <w:pStyle w:val="ListBullet"/>
      </w:pPr>
      <w:r>
        <w:t>30 天稳定观察期是合同验收条件的一部分（V2 §9.4），约占总工期 1/5——对外承诺交船日期必须包含这一段，不可当作“交完再说”。</w:t>
      </w:r>
    </w:p>
    <w:p>
      <w:pPr>
        <w:pStyle w:val="ListBullet"/>
      </w:pPr>
      <w:r>
        <w:t>量产视角：本船为首制船。FAT/HAT/SAT 全部检验记录、吊舱标定参数、as-built 图纸（T7.3）是后续批量船只的复制资产，验收通过≠归档完成，PMO 单独核销。</w:t>
      </w:r>
    </w:p>
    <w:p>
      <w:pPr>
        <w:pStyle w:val="Heading1"/>
      </w:pPr>
      <w:r>
        <w:t>六、PMO 关注问题清单</w:t>
      </w:r>
    </w:p>
    <w:p>
      <w:r>
        <w:rPr>
          <w:b/>
          <w:i w:val="0"/>
        </w:rPr>
        <w:t>分级：P0 = 本周必须启动/闭环（卡合同或卡关键路径）；P1 = M1 详设冻结前闭环；P2 = 持续监控。每条注明依据来源与需要谁闭环。</w:t>
      </w:r>
    </w:p>
    <w:p>
      <w:pPr>
        <w:pStyle w:val="Heading2"/>
      </w:pPr>
      <w:r>
        <w:t>P0（本周启动）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问题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依据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需要谁</w:t>
            </w:r>
          </w:p>
        </w:tc>
      </w:tr>
      <w:tr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技术协议未签署（签字页空白、日期未填），M0 未达成</w:t>
            </w:r>
          </w:p>
        </w:tc>
        <w:tc>
          <w:tcPr>
            <w:tcW w:type="dxa" w:w="1728"/>
          </w:tcPr>
          <w:p>
            <w:r>
              <w:t>任务清单 T0.1</w:t>
            </w:r>
          </w:p>
        </w:tc>
        <w:tc>
          <w:tcPr>
            <w:tcW w:type="dxa" w:w="1728"/>
          </w:tcPr>
          <w:p>
            <w:r>
              <w:t>一切供货、澄清、会签均无正式合同依据；先干后签的商务风险全在乙方</w:t>
            </w:r>
          </w:p>
        </w:tc>
        <w:tc>
          <w:tcPr>
            <w:tcW w:type="dxa" w:w="1728"/>
          </w:tcPr>
          <w:p>
            <w:r>
              <w:t>甲乙双方商务；PMO 跟催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无日历基线：M0–M6 只有定义没有日期，关键路径无法监控</w:t>
            </w:r>
          </w:p>
        </w:tc>
        <w:tc>
          <w:tcPr>
            <w:tcW w:type="dxa" w:w="1728"/>
          </w:tcPr>
          <w:p>
            <w:r>
              <w:t>任务清单 T0.3</w:t>
            </w:r>
          </w:p>
        </w:tc>
        <w:tc>
          <w:tcPr>
            <w:tcW w:type="dxa" w:w="1728"/>
          </w:tcPr>
          <w:p>
            <w:r>
              <w:t>进度失控无从预警；对外交船承诺无依据</w:t>
            </w:r>
          </w:p>
        </w:tc>
        <w:tc>
          <w:tcPr>
            <w:tcW w:type="dxa" w:w="1728"/>
          </w:tcPr>
          <w:p>
            <w:r>
              <w:t>PM 确认草案；PMO 发布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三条澄清项卡住接线图：T1.1 副台面板矛盾 / T1.4 上行总线 / T1.5 手柄供电</w:t>
            </w:r>
          </w:p>
        </w:tc>
        <w:tc>
          <w:tcPr>
            <w:tcW w:type="dxa" w:w="1728"/>
          </w:tcPr>
          <w:p>
            <w:r>
              <w:t>任务清单 §11 提醒 1；V2 待定项 #1/#4/#5</w:t>
            </w:r>
          </w:p>
        </w:tc>
        <w:tc>
          <w:tcPr>
            <w:tcW w:type="dxa" w:w="1728"/>
          </w:tcPr>
          <w:p>
            <w:r>
              <w:t>接线图 T1.14 是关键路径起点，晚一周全线晚一周</w:t>
            </w:r>
          </w:p>
        </w:tc>
        <w:tc>
          <w:tcPr>
            <w:tcW w:type="dxa" w:w="1728"/>
          </w:tcPr>
          <w:p>
            <w:r>
              <w:t>智舱起草澄清函；甲方/设计院答复；712 所配合手柄项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六方组织与联络矩阵未建立（§3.3 全部待落名）</w:t>
            </w:r>
          </w:p>
        </w:tc>
        <w:tc>
          <w:tcPr>
            <w:tcW w:type="dxa" w:w="1728"/>
          </w:tcPr>
          <w:p>
            <w:r>
              <w:t>任务清单 T0.2</w:t>
            </w:r>
          </w:p>
        </w:tc>
        <w:tc>
          <w:tcPr>
            <w:tcW w:type="dxa" w:w="1728"/>
          </w:tcPr>
          <w:p>
            <w:r>
              <w:t>澄清函不知发给谁；多方协同每一步都在找人</w:t>
            </w:r>
          </w:p>
        </w:tc>
        <w:tc>
          <w:tcPr>
            <w:tcW w:type="dxa" w:w="1728"/>
          </w:tcPr>
          <w:p>
            <w:r>
              <w:t>PM 牵头；各方书面指定</w:t>
            </w:r>
          </w:p>
        </w:tc>
      </w:tr>
      <w:tr>
        <w:tc>
          <w:tcPr>
            <w:tcW w:type="dxa" w:w="1728"/>
          </w:tcPr>
          <w:p>
            <w:r>
              <w:t>Q5</w:t>
            </w:r>
          </w:p>
        </w:tc>
        <w:tc>
          <w:tcPr>
            <w:tcW w:type="dxa" w:w="1728"/>
          </w:tcPr>
          <w:p>
            <w:r>
              <w:t>712 所协同界面未书面化：VCU/手柄到货节点、三电接口协议、机舱对接条件均无书面约定</w:t>
            </w:r>
          </w:p>
        </w:tc>
        <w:tc>
          <w:tcPr>
            <w:tcW w:type="dxa" w:w="1728"/>
          </w:tcPr>
          <w:p>
            <w:r>
              <w:t>材料中 712 仅作为设备来源出现；T4.8 依赖其配合</w:t>
            </w:r>
          </w:p>
        </w:tc>
        <w:tc>
          <w:tcPr>
            <w:tcW w:type="dxa" w:w="1728"/>
          </w:tcPr>
          <w:p>
            <w:r>
              <w:t>T2.3 配盘、T2.6 台架联试、T4.8 对接三个关键路径节点都踩在这条缝上</w:t>
            </w:r>
          </w:p>
        </w:tc>
        <w:tc>
          <w:tcPr>
            <w:tcW w:type="dxa" w:w="1728"/>
          </w:tcPr>
          <w:p>
            <w:r>
              <w:t>PM 与 712 所对口；PMO 起草界面确认函</w:t>
            </w:r>
          </w:p>
        </w:tc>
      </w:tr>
    </w:tbl>
    <w:p>
      <w:pPr>
        <w:pStyle w:val="Heading2"/>
      </w:pPr>
      <w:r>
        <w:t>P1（M1 详设冻结前）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问题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依据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需要谁</w:t>
            </w:r>
          </w:p>
        </w:tc>
      </w:tr>
      <w:tr>
        <w:tc>
          <w:tcPr>
            <w:tcW w:type="dxa" w:w="1728"/>
          </w:tcPr>
          <w:p>
            <w:r>
              <w:t>Q6</w:t>
            </w:r>
          </w:p>
        </w:tc>
        <w:tc>
          <w:tcPr>
            <w:tcW w:type="dxa" w:w="1728"/>
          </w:tcPr>
          <w:p>
            <w:r>
              <w:t>智舱↔智控供货边界与显控屏归属口径需书面统一；外部团队进度/结算界面未约定</w:t>
            </w:r>
          </w:p>
        </w:tc>
        <w:tc>
          <w:tcPr>
            <w:tcW w:type="dxa" w:w="1728"/>
          </w:tcPr>
          <w:p>
            <w:r>
              <w:t>V2 §1.4 注</w:t>
            </w:r>
          </w:p>
        </w:tc>
        <w:tc>
          <w:tcPr>
            <w:tcW w:type="dxa" w:w="1728"/>
          </w:tcPr>
          <w:p>
            <w:r>
              <w:t>供货清单出现两种口径 → 结算与责任争议</w:t>
            </w:r>
          </w:p>
        </w:tc>
        <w:tc>
          <w:tcPr>
            <w:tcW w:type="dxa" w:w="1728"/>
          </w:tcPr>
          <w:p>
            <w:r>
              <w:t>乙方 PM + 智控团队</w:t>
            </w:r>
          </w:p>
        </w:tc>
      </w:tr>
      <w:tr>
        <w:tc>
          <w:tcPr>
            <w:tcW w:type="dxa" w:w="1728"/>
          </w:tcPr>
          <w:p>
            <w:r>
              <w:t>Q7</w:t>
            </w:r>
          </w:p>
        </w:tc>
        <w:tc>
          <w:tcPr>
            <w:tcW w:type="dxa" w:w="1728"/>
          </w:tcPr>
          <w:p>
            <w:r>
              <w:t>12 条待定项无责任人、无闭环时间</w:t>
            </w:r>
          </w:p>
        </w:tc>
        <w:tc>
          <w:tcPr>
            <w:tcW w:type="dxa" w:w="1728"/>
          </w:tcPr>
          <w:p>
            <w:r>
              <w:t>V2 第八章；TM.1</w:t>
            </w:r>
          </w:p>
        </w:tc>
        <w:tc>
          <w:tcPr>
            <w:tcW w:type="dxa" w:w="1728"/>
          </w:tcPr>
          <w:p>
            <w:r>
              <w:t>开放项失控 = 开工后逐条变成扯皮点</w:t>
            </w:r>
          </w:p>
        </w:tc>
        <w:tc>
          <w:tcPr>
            <w:tcW w:type="dxa" w:w="1728"/>
          </w:tcPr>
          <w:p>
            <w:r>
              <w:t>PMO 建台账；PM 指派</w:t>
            </w:r>
          </w:p>
        </w:tc>
      </w:tr>
      <w:tr>
        <w:tc>
          <w:tcPr>
            <w:tcW w:type="dxa" w:w="1728"/>
          </w:tcPr>
          <w:p>
            <w:r>
              <w:t>Q8</w:t>
            </w:r>
          </w:p>
        </w:tc>
        <w:tc>
          <w:tcPr>
            <w:tcW w:type="dxa" w:w="1728"/>
          </w:tcPr>
          <w:p>
            <w:r>
              <w:t>三个可选项（网关/告警分级/健康评分）决策截止 = M1，逾期默认不实施并留痕</w:t>
            </w:r>
          </w:p>
        </w:tc>
        <w:tc>
          <w:tcPr>
            <w:tcW w:type="dxa" w:w="1728"/>
          </w:tcPr>
          <w:p>
            <w:r>
              <w:t>TM.4</w:t>
            </w:r>
          </w:p>
        </w:tc>
        <w:tc>
          <w:tcPr>
            <w:tcW w:type="dxa" w:w="1728"/>
          </w:tcPr>
          <w:p>
            <w:r>
              <w:t>决策拖过 M1 → 后期插入返工</w:t>
            </w:r>
          </w:p>
        </w:tc>
        <w:tc>
          <w:tcPr>
            <w:tcW w:type="dxa" w:w="1728"/>
          </w:tcPr>
          <w:p>
            <w:r>
              <w:t>甲方决策；PMO 截止提醒</w:t>
            </w:r>
          </w:p>
        </w:tc>
      </w:tr>
      <w:tr>
        <w:tc>
          <w:tcPr>
            <w:tcW w:type="dxa" w:w="1728"/>
          </w:tcPr>
          <w:p>
            <w:r>
              <w:t>Q9</w:t>
            </w:r>
          </w:p>
        </w:tc>
        <w:tc>
          <w:tcPr>
            <w:tcW w:type="dxa" w:w="1728"/>
          </w:tcPr>
          <w:p>
            <w:r>
              <w:t>检试大纲未会签（原协议仅 2 项验收、“△”含义不明）</w:t>
            </w:r>
          </w:p>
        </w:tc>
        <w:tc>
          <w:tcPr>
            <w:tcW w:type="dxa" w:w="1728"/>
          </w:tcPr>
          <w:p>
            <w:r>
              <w:t>T1.10；风险 #4</w:t>
            </w:r>
          </w:p>
        </w:tc>
        <w:tc>
          <w:tcPr>
            <w:tcW w:type="dxa" w:w="1728"/>
          </w:tcPr>
          <w:p>
            <w:r>
              <w:t>交船时对“合格”标准必起争议</w:t>
            </w:r>
          </w:p>
        </w:tc>
        <w:tc>
          <w:tcPr>
            <w:tcW w:type="dxa" w:w="1728"/>
          </w:tcPr>
          <w:p>
            <w:r>
              <w:t>双方会签</w:t>
            </w:r>
          </w:p>
        </w:tc>
      </w:tr>
      <w:tr>
        <w:tc>
          <w:tcPr>
            <w:tcW w:type="dxa" w:w="1728"/>
          </w:tcPr>
          <w:p>
            <w:r>
              <w:t>Q10</w:t>
            </w:r>
          </w:p>
        </w:tc>
        <w:tc>
          <w:tcPr>
            <w:tcW w:type="dxa" w:w="1728"/>
          </w:tcPr>
          <w:p>
            <w:r>
              <w:t>长周期物料交期未识别</w:t>
            </w:r>
          </w:p>
        </w:tc>
        <w:tc>
          <w:tcPr>
            <w:tcW w:type="dxa" w:w="1728"/>
          </w:tcPr>
          <w:p>
            <w:r>
              <w:t>T2.1</w:t>
            </w:r>
          </w:p>
        </w:tc>
        <w:tc>
          <w:tcPr>
            <w:tcW w:type="dxa" w:w="1728"/>
          </w:tcPr>
          <w:p>
            <w:r>
              <w:t>任一关键器材交期超预期即改写关键路径</w:t>
            </w:r>
          </w:p>
        </w:tc>
        <w:tc>
          <w:tcPr>
            <w:tcW w:type="dxa" w:w="1728"/>
          </w:tcPr>
          <w:p>
            <w:r>
              <w:t>智舱/智控报交期；PMO 建交期台账</w:t>
            </w:r>
          </w:p>
        </w:tc>
      </w:tr>
      <w:tr>
        <w:tc>
          <w:tcPr>
            <w:tcW w:type="dxa" w:w="1728"/>
          </w:tcPr>
          <w:p>
            <w:r>
              <w:t>Q11</w:t>
            </w:r>
          </w:p>
        </w:tc>
        <w:tc>
          <w:tcPr>
            <w:tcW w:type="dxa" w:w="1728"/>
          </w:tcPr>
          <w:p>
            <w:r>
              <w:t>船厂预铺窗口未与船台计划对齐</w:t>
            </w:r>
          </w:p>
        </w:tc>
        <w:tc>
          <w:tcPr>
            <w:tcW w:type="dxa" w:w="1728"/>
          </w:tcPr>
          <w:p>
            <w:r>
              <w:t>T4.1 解耦提醒</w:t>
            </w:r>
          </w:p>
        </w:tc>
        <w:tc>
          <w:tcPr>
            <w:tcW w:type="dxa" w:w="1728"/>
          </w:tcPr>
          <w:p>
            <w:r>
              <w:t>错过船台窗口 → 预铺回到关键路径</w:t>
            </w:r>
          </w:p>
        </w:tc>
        <w:tc>
          <w:tcPr>
            <w:tcW w:type="dxa" w:w="1728"/>
          </w:tcPr>
          <w:p>
            <w:r>
              <w:t>船厂 + PMO</w:t>
            </w:r>
          </w:p>
        </w:tc>
      </w:tr>
      <w:tr>
        <w:tc>
          <w:tcPr>
            <w:tcW w:type="dxa" w:w="1728"/>
          </w:tcPr>
          <w:p>
            <w:r>
              <w:t>Q12</w:t>
            </w:r>
          </w:p>
        </w:tc>
        <w:tc>
          <w:tcPr>
            <w:tcW w:type="dxa" w:w="1728"/>
          </w:tcPr>
          <w:p>
            <w:r>
              <w:t>智控→手动退出条件未定义（是否需转速归零）</w:t>
            </w:r>
          </w:p>
        </w:tc>
        <w:tc>
          <w:tcPr>
            <w:tcW w:type="dxa" w:w="1728"/>
          </w:tcPr>
          <w:p>
            <w:r>
              <w:t>V2 待定项 #2；风险 #2（高影响）</w:t>
            </w:r>
          </w:p>
        </w:tc>
        <w:tc>
          <w:tcPr>
            <w:tcW w:type="dxa" w:w="1728"/>
          </w:tcPr>
          <w:p>
            <w:r>
              <w:t>切回人工时推进器仍带速度/角度 = 安全隐患</w:t>
            </w:r>
          </w:p>
        </w:tc>
        <w:tc>
          <w:tcPr>
            <w:tcW w:type="dxa" w:w="1728"/>
          </w:tcPr>
          <w:p>
            <w:r>
              <w:t>甲方确认；联调验证</w:t>
            </w:r>
          </w:p>
        </w:tc>
      </w:tr>
    </w:tbl>
    <w:p>
      <w:pPr>
        <w:pStyle w:val="Heading2"/>
      </w:pPr>
      <w:r>
        <w:t>P2（持续监控）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监控方式</w:t>
            </w:r>
          </w:p>
        </w:tc>
      </w:tr>
      <w:tr>
        <w:tc>
          <w:tcPr>
            <w:tcW w:type="dxa" w:w="2880"/>
          </w:tcPr>
          <w:p>
            <w:r>
              <w:t>Q13</w:t>
            </w:r>
          </w:p>
        </w:tc>
        <w:tc>
          <w:tcPr>
            <w:tcW w:type="dxa" w:w="2880"/>
          </w:tcPr>
          <w:p>
            <w:r>
              <w:t>风险登记动态维护（V2 表 B 5 条 + 本文附录新增 4 条建议）</w:t>
            </w:r>
          </w:p>
        </w:tc>
        <w:tc>
          <w:tcPr>
            <w:tcW w:type="dxa" w:w="2880"/>
          </w:tcPr>
          <w:p>
            <w:r>
              <w:t>周例会 10 分钟逐条过；触发即升级</w:t>
            </w:r>
          </w:p>
        </w:tc>
      </w:tr>
      <w:tr>
        <w:tc>
          <w:tcPr>
            <w:tcW w:type="dxa" w:w="2880"/>
          </w:tcPr>
          <w:p>
            <w:r>
              <w:t>Q14</w:t>
            </w:r>
          </w:p>
        </w:tc>
        <w:tc>
          <w:tcPr>
            <w:tcW w:type="dxa" w:w="2880"/>
          </w:tcPr>
          <w:p>
            <w:r>
              <w:t>变更书面化：设计/工艺更改须书面告知甲方并取得认可（协议 §3.1b）</w:t>
            </w:r>
          </w:p>
        </w:tc>
        <w:tc>
          <w:tcPr>
            <w:tcW w:type="dxa" w:w="2880"/>
          </w:tcPr>
          <w:p>
            <w:r>
              <w:t>变更台账；无书面认可不执行</w:t>
            </w:r>
          </w:p>
        </w:tc>
      </w:tr>
      <w:tr>
        <w:tc>
          <w:tcPr>
            <w:tcW w:type="dxa" w:w="2880"/>
          </w:tcPr>
          <w:p>
            <w:r>
              <w:t>Q15</w:t>
            </w:r>
          </w:p>
        </w:tc>
        <w:tc>
          <w:tcPr>
            <w:tcW w:type="dxa" w:w="2880"/>
          </w:tcPr>
          <w:p>
            <w:r>
              <w:t>“智控”能力口径统一（电子遥控+闭环跟随，非自主航行）</w:t>
            </w:r>
          </w:p>
        </w:tc>
        <w:tc>
          <w:tcPr>
            <w:tcW w:type="dxa" w:w="2880"/>
          </w:tcPr>
          <w:p>
            <w:r>
              <w:t>对外材料/汇报统一话术（T0.4）；防止验收期望漂移</w:t>
            </w:r>
          </w:p>
        </w:tc>
      </w:tr>
      <w:tr>
        <w:tc>
          <w:tcPr>
            <w:tcW w:type="dxa" w:w="2880"/>
          </w:tcPr>
          <w:p>
            <w:r>
              <w:t>Q16</w:t>
            </w:r>
          </w:p>
        </w:tc>
        <w:tc>
          <w:tcPr>
            <w:tcW w:type="dxa" w:w="2880"/>
          </w:tcPr>
          <w:p>
            <w:r>
              <w:t>关键路径周报（接线图→配盘→FAT→安装→HAT→SAT 各环节偏差与追赶）</w:t>
            </w:r>
          </w:p>
        </w:tc>
        <w:tc>
          <w:tcPr>
            <w:tcW w:type="dxa" w:w="2880"/>
          </w:tcPr>
          <w:p>
            <w:r>
              <w:t>每周发布（TM.5）</w:t>
            </w:r>
          </w:p>
        </w:tc>
      </w:tr>
      <w:tr>
        <w:tc>
          <w:tcPr>
            <w:tcW w:type="dxa" w:w="2880"/>
          </w:tcPr>
          <w:p>
            <w:r>
              <w:t>Q17</w:t>
            </w:r>
          </w:p>
        </w:tc>
        <w:tc>
          <w:tcPr>
            <w:tcW w:type="dxa" w:w="2880"/>
          </w:tcPr>
          <w:p>
            <w:r>
              <w:t>30 天观察期纳入对外交船口径</w:t>
            </w:r>
          </w:p>
        </w:tc>
        <w:tc>
          <w:tcPr>
            <w:tcW w:type="dxa" w:w="2880"/>
          </w:tcPr>
          <w:p>
            <w:r>
              <w:t>商务沟通均按含观察期的 M6 日期表述</w:t>
            </w:r>
          </w:p>
        </w:tc>
      </w:tr>
    </w:tbl>
    <w:p>
      <w:pPr>
        <w:pStyle w:val="Heading1"/>
      </w:pPr>
      <w:r>
        <w:t>七、下一步行动策略</w:t>
      </w:r>
    </w:p>
    <w:p>
      <w:pPr>
        <w:pStyle w:val="Heading2"/>
      </w:pPr>
      <w:r>
        <w:t>7.1 第一步：本周动作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行动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责任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产出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闭环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起草并发出澄清函：T1.1 副台面板、T1.4 上行总线、T1.5 手柄供电，一并附 T1.2 智控退出条件问询</w:t>
            </w:r>
          </w:p>
        </w:tc>
        <w:tc>
          <w:tcPr>
            <w:tcW w:type="dxa" w:w="1728"/>
          </w:tcPr>
          <w:p>
            <w:r>
              <w:t>智舱起草 / PM 签发 / PMO 跟踪回函</w:t>
            </w:r>
          </w:p>
        </w:tc>
        <w:tc>
          <w:tcPr>
            <w:tcW w:type="dxa" w:w="1728"/>
          </w:tcPr>
          <w:p>
            <w:r>
              <w:t>澄清函 + 回函时限（建议 5 个工作日）</w:t>
            </w:r>
          </w:p>
        </w:tc>
        <w:tc>
          <w:tcPr>
            <w:tcW w:type="dxa" w:w="1728"/>
          </w:tcPr>
          <w:p>
            <w:r>
              <w:t>Q3、Q12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推动技术协议签署，明确 M0 日期</w:t>
            </w:r>
          </w:p>
        </w:tc>
        <w:tc>
          <w:tcPr>
            <w:tcW w:type="dxa" w:w="1728"/>
          </w:tcPr>
          <w:p>
            <w:r>
              <w:t>双方商务 / PMO 跟催</w:t>
            </w:r>
          </w:p>
        </w:tc>
        <w:tc>
          <w:tcPr>
            <w:tcW w:type="dxa" w:w="1728"/>
          </w:tcPr>
          <w:p>
            <w:r>
              <w:t>签字盖章版协议</w:t>
            </w:r>
          </w:p>
        </w:tc>
        <w:tc>
          <w:tcPr>
            <w:tcW w:type="dxa" w:w="1728"/>
          </w:tcPr>
          <w:p>
            <w:r>
              <w:t>Q1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发出组织与联络矩阵征集（§3.3 表格），六方落名</w:t>
            </w:r>
          </w:p>
        </w:tc>
        <w:tc>
          <w:tcPr>
            <w:tcW w:type="dxa" w:w="1728"/>
          </w:tcPr>
          <w:p>
            <w:r>
              <w:t>PM 牵头 / PMO 汇总</w:t>
            </w:r>
          </w:p>
        </w:tc>
        <w:tc>
          <w:tcPr>
            <w:tcW w:type="dxa" w:w="1728"/>
          </w:tcPr>
          <w:p>
            <w:r>
              <w:t>落名版联络矩阵</w:t>
            </w:r>
          </w:p>
        </w:tc>
        <w:tc>
          <w:tcPr>
            <w:tcW w:type="dxa" w:w="1728"/>
          </w:tcPr>
          <w:p>
            <w:r>
              <w:t>Q4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向 712 所发协同界面确认函：VCU/手柄到货节点、三电接口协议文本、机舱对接条件</w:t>
            </w:r>
          </w:p>
        </w:tc>
        <w:tc>
          <w:tcPr>
            <w:tcW w:type="dxa" w:w="1728"/>
          </w:tcPr>
          <w:p>
            <w:r>
              <w:t>PM / PMO 起草</w:t>
            </w:r>
          </w:p>
        </w:tc>
        <w:tc>
          <w:tcPr>
            <w:tcW w:type="dxa" w:w="1728"/>
          </w:tcPr>
          <w:p>
            <w:r>
              <w:t>712 界面确认单</w:t>
            </w:r>
          </w:p>
        </w:tc>
        <w:tc>
          <w:tcPr>
            <w:tcW w:type="dxa" w:w="1728"/>
          </w:tcPr>
          <w:p>
            <w:r>
              <w:t>Q5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向船厂确认船台计划与预铺窗口，随附预铺线缆清单（待 T1.6 实测长度）</w:t>
            </w:r>
          </w:p>
        </w:tc>
        <w:tc>
          <w:tcPr>
            <w:tcW w:type="dxa" w:w="1728"/>
          </w:tcPr>
          <w:p>
            <w:r>
              <w:t>PMO / 船厂</w:t>
            </w:r>
          </w:p>
        </w:tc>
        <w:tc>
          <w:tcPr>
            <w:tcW w:type="dxa" w:w="1728"/>
          </w:tcPr>
          <w:p>
            <w:r>
              <w:t>预铺窗口确认</w:t>
            </w:r>
          </w:p>
        </w:tc>
        <w:tc>
          <w:tcPr>
            <w:tcW w:type="dxa" w:w="1728"/>
          </w:tcPr>
          <w:p>
            <w:r>
              <w:t>Q11</w:t>
            </w:r>
          </w:p>
        </w:tc>
      </w:tr>
      <w:tr>
        <w:tc>
          <w:tcPr>
            <w:tcW w:type="dxa" w:w="1728"/>
          </w:tcPr>
          <w:p>
            <w:r>
              <w:t>A6</w:t>
            </w:r>
          </w:p>
        </w:tc>
        <w:tc>
          <w:tcPr>
            <w:tcW w:type="dxa" w:w="1728"/>
          </w:tcPr>
          <w:p>
            <w:r>
              <w:t>发布建议基线（本文 §五），注明“签约后换算日历日期”</w:t>
            </w:r>
          </w:p>
        </w:tc>
        <w:tc>
          <w:tcPr>
            <w:tcW w:type="dxa" w:w="1728"/>
          </w:tcPr>
          <w:p>
            <w:r>
              <w:t>PMO</w:t>
            </w:r>
          </w:p>
        </w:tc>
        <w:tc>
          <w:tcPr>
            <w:tcW w:type="dxa" w:w="1728"/>
          </w:tcPr>
          <w:p>
            <w:r>
              <w:t>基线 V0.9（草案）</w:t>
            </w:r>
          </w:p>
        </w:tc>
        <w:tc>
          <w:tcPr>
            <w:tcW w:type="dxa" w:w="1728"/>
          </w:tcPr>
          <w:p>
            <w:r>
              <w:t>Q2</w:t>
            </w:r>
          </w:p>
        </w:tc>
      </w:tr>
    </w:tbl>
    <w:p>
      <w:pPr>
        <w:pStyle w:val="Heading2"/>
      </w:pPr>
      <w:r>
        <w:t>7.2 第二步：M1 详设冻结前（建议 W5 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行动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责任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产出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闭环</w:t>
            </w:r>
          </w:p>
        </w:tc>
      </w:tr>
      <w:tr>
        <w:tc>
          <w:tcPr>
            <w:tcW w:type="dxa" w:w="1728"/>
          </w:tcPr>
          <w:p>
            <w:r>
              <w:t>A7</w:t>
            </w:r>
          </w:p>
        </w:tc>
        <w:tc>
          <w:tcPr>
            <w:tcW w:type="dxa" w:w="1728"/>
          </w:tcPr>
          <w:p>
            <w:r>
              <w:t>12 条待定项建台账、逐条指派责任人与闭环时间，周会核销</w:t>
            </w:r>
          </w:p>
        </w:tc>
        <w:tc>
          <w:tcPr>
            <w:tcW w:type="dxa" w:w="1728"/>
          </w:tcPr>
          <w:p>
            <w:r>
              <w:t>PMO / PM 指派</w:t>
            </w:r>
          </w:p>
        </w:tc>
        <w:tc>
          <w:tcPr>
            <w:tcW w:type="dxa" w:w="1728"/>
          </w:tcPr>
          <w:p>
            <w:r>
              <w:t>待定项台账（附录 8.1 为初版）</w:t>
            </w:r>
          </w:p>
        </w:tc>
        <w:tc>
          <w:tcPr>
            <w:tcW w:type="dxa" w:w="1728"/>
          </w:tcPr>
          <w:p>
            <w:r>
              <w:t>Q7</w:t>
            </w:r>
          </w:p>
        </w:tc>
      </w:tr>
      <w:tr>
        <w:tc>
          <w:tcPr>
            <w:tcW w:type="dxa" w:w="1728"/>
          </w:tcPr>
          <w:p>
            <w:r>
              <w:t>A8</w:t>
            </w:r>
          </w:p>
        </w:tc>
        <w:tc>
          <w:tcPr>
            <w:tcW w:type="dxa" w:w="1728"/>
          </w:tcPr>
          <w:p>
            <w:r>
              <w:t>检试大纲按 V2 第九章细化并与甲方会签</w:t>
            </w:r>
          </w:p>
        </w:tc>
        <w:tc>
          <w:tcPr>
            <w:tcW w:type="dxa" w:w="1728"/>
          </w:tcPr>
          <w:p>
            <w:r>
              <w:t>智舱编制 / 双方会签</w:t>
            </w:r>
          </w:p>
        </w:tc>
        <w:tc>
          <w:tcPr>
            <w:tcW w:type="dxa" w:w="1728"/>
          </w:tcPr>
          <w:p>
            <w:r>
              <w:t>会签版检试大纲</w:t>
            </w:r>
          </w:p>
        </w:tc>
        <w:tc>
          <w:tcPr>
            <w:tcW w:type="dxa" w:w="1728"/>
          </w:tcPr>
          <w:p>
            <w:r>
              <w:t>Q9</w:t>
            </w:r>
          </w:p>
        </w:tc>
      </w:tr>
      <w:tr>
        <w:tc>
          <w:tcPr>
            <w:tcW w:type="dxa" w:w="1728"/>
          </w:tcPr>
          <w:p>
            <w:r>
              <w:t>A9</w:t>
            </w:r>
          </w:p>
        </w:tc>
        <w:tc>
          <w:tcPr>
            <w:tcW w:type="dxa" w:w="1728"/>
          </w:tcPr>
          <w:p>
            <w:r>
              <w:t>三个可选项取得甲方书面决策；逾期按“本期不实施”留痕</w:t>
            </w:r>
          </w:p>
        </w:tc>
        <w:tc>
          <w:tcPr>
            <w:tcW w:type="dxa" w:w="1728"/>
          </w:tcPr>
          <w:p>
            <w:r>
              <w:t>甲方 / PMO 截止提醒</w:t>
            </w:r>
          </w:p>
        </w:tc>
        <w:tc>
          <w:tcPr>
            <w:tcW w:type="dxa" w:w="1728"/>
          </w:tcPr>
          <w:p>
            <w:r>
              <w:t>决策记录×3</w:t>
            </w:r>
          </w:p>
        </w:tc>
        <w:tc>
          <w:tcPr>
            <w:tcW w:type="dxa" w:w="1728"/>
          </w:tcPr>
          <w:p>
            <w:r>
              <w:t>Q8</w:t>
            </w:r>
          </w:p>
        </w:tc>
      </w:tr>
      <w:tr>
        <w:tc>
          <w:tcPr>
            <w:tcW w:type="dxa" w:w="1728"/>
          </w:tcPr>
          <w:p>
            <w:r>
              <w:t>A10</w:t>
            </w:r>
          </w:p>
        </w:tc>
        <w:tc>
          <w:tcPr>
            <w:tcW w:type="dxa" w:w="1728"/>
          </w:tcPr>
          <w:p>
            <w:r>
              <w:t>正式接线图 + 台体认可图完成并会签 → 宣布 M1 详设冻结</w:t>
            </w:r>
          </w:p>
        </w:tc>
        <w:tc>
          <w:tcPr>
            <w:tcW w:type="dxa" w:w="1728"/>
          </w:tcPr>
          <w:p>
            <w:r>
              <w:t>智舱 / 甲方会签</w:t>
            </w:r>
          </w:p>
        </w:tc>
        <w:tc>
          <w:tcPr>
            <w:tcW w:type="dxa" w:w="1728"/>
          </w:tcPr>
          <w:p>
            <w:r>
              <w:t>会签版图纸（M1）</w:t>
            </w:r>
          </w:p>
        </w:tc>
        <w:tc>
          <w:tcPr>
            <w:tcW w:type="dxa" w:w="1728"/>
          </w:tcPr>
          <w:p>
            <w:r>
              <w:t>Q3 收口</w:t>
            </w:r>
          </w:p>
        </w:tc>
      </w:tr>
      <w:tr>
        <w:tc>
          <w:tcPr>
            <w:tcW w:type="dxa" w:w="1728"/>
          </w:tcPr>
          <w:p>
            <w:r>
              <w:t>A11</w:t>
            </w:r>
          </w:p>
        </w:tc>
        <w:tc>
          <w:tcPr>
            <w:tcW w:type="dxa" w:w="1728"/>
          </w:tcPr>
          <w:p>
            <w:r>
              <w:t>长周期物料逐项取得书面交期，更新基线；具备条件即下单</w:t>
            </w:r>
          </w:p>
        </w:tc>
        <w:tc>
          <w:tcPr>
            <w:tcW w:type="dxa" w:w="1728"/>
          </w:tcPr>
          <w:p>
            <w:r>
              <w:t>智舱+智控 / PMO 台账</w:t>
            </w:r>
          </w:p>
        </w:tc>
        <w:tc>
          <w:tcPr>
            <w:tcW w:type="dxa" w:w="1728"/>
          </w:tcPr>
          <w:p>
            <w:r>
              <w:t>交期台账 + 采购订单</w:t>
            </w:r>
          </w:p>
        </w:tc>
        <w:tc>
          <w:tcPr>
            <w:tcW w:type="dxa" w:w="1728"/>
          </w:tcPr>
          <w:p>
            <w:r>
              <w:t>Q10</w:t>
            </w:r>
          </w:p>
        </w:tc>
      </w:tr>
      <w:tr>
        <w:tc>
          <w:tcPr>
            <w:tcW w:type="dxa" w:w="1728"/>
          </w:tcPr>
          <w:p>
            <w:r>
              <w:t>A12</w:t>
            </w:r>
          </w:p>
        </w:tc>
        <w:tc>
          <w:tcPr>
            <w:tcW w:type="dxa" w:w="1728"/>
          </w:tcPr>
          <w:p>
            <w:r>
              <w:t>智舱↔智控边界与显控屏口径书面确认（含 VCU“712 供硬件/智控管软件”权责）</w:t>
            </w:r>
          </w:p>
        </w:tc>
        <w:tc>
          <w:tcPr>
            <w:tcW w:type="dxa" w:w="1728"/>
          </w:tcPr>
          <w:p>
            <w:r>
              <w:t>乙方 PM</w:t>
            </w:r>
          </w:p>
        </w:tc>
        <w:tc>
          <w:tcPr>
            <w:tcW w:type="dxa" w:w="1728"/>
          </w:tcPr>
          <w:p>
            <w:r>
              <w:t>边界确认单</w:t>
            </w:r>
          </w:p>
        </w:tc>
        <w:tc>
          <w:tcPr>
            <w:tcW w:type="dxa" w:w="1728"/>
          </w:tcPr>
          <w:p>
            <w:r>
              <w:t>Q6</w:t>
            </w:r>
          </w:p>
        </w:tc>
      </w:tr>
    </w:tbl>
    <w:p>
      <w:pPr>
        <w:pStyle w:val="Heading2"/>
      </w:pPr>
      <w:r>
        <w:t>7.3 第三步：持续机制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机制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节奏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周例会（30 分钟）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  <w:tc>
          <w:tcPr>
            <w:tcW w:type="dxa" w:w="2880"/>
          </w:tcPr>
          <w:p>
            <w:r>
              <w:t>议程固定四项：①关键路径偏差与追赶；②澄清/待定项核销（对 61 条任务清单逐条核销当周项）；③风险 10 分钟；④下周三件事。不做泛泛汇报</w:t>
            </w:r>
          </w:p>
        </w:tc>
      </w:tr>
      <w:tr>
        <w:tc>
          <w:tcPr>
            <w:tcW w:type="dxa" w:w="2880"/>
          </w:tcPr>
          <w:p>
            <w:r>
              <w:t>关键路径周报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  <w:tc>
          <w:tcPr>
            <w:tcW w:type="dxa" w:w="2880"/>
          </w:tcPr>
          <w:p>
            <w:r>
              <w:t>接线图→配盘→FAT→安装→HAT→SAT 各环节：计划 vs 实际、偏差天数、追赶措施（TM.5）</w:t>
            </w:r>
          </w:p>
        </w:tc>
      </w:tr>
      <w:tr>
        <w:tc>
          <w:tcPr>
            <w:tcW w:type="dxa" w:w="2880"/>
          </w:tcPr>
          <w:p>
            <w:r>
              <w:t>风险与变更管理</w:t>
            </w:r>
          </w:p>
        </w:tc>
        <w:tc>
          <w:tcPr>
            <w:tcW w:type="dxa" w:w="2880"/>
          </w:tcPr>
          <w:p>
            <w:r>
              <w:t>每周/事件驱动</w:t>
            </w:r>
          </w:p>
        </w:tc>
        <w:tc>
          <w:tcPr>
            <w:tcW w:type="dxa" w:w="2880"/>
          </w:tcPr>
          <w:p>
            <w:r>
              <w:t>风险台账动态维护（TM.2）；一切设计/工艺变更书面告知甲方并取得认可后执行（TM.3）</w:t>
            </w:r>
          </w:p>
        </w:tc>
      </w:tr>
      <w:tr>
        <w:tc>
          <w:tcPr>
            <w:tcW w:type="dxa" w:w="2880"/>
          </w:tcPr>
          <w:p>
            <w:r>
              <w:t>试验与见证组织</w:t>
            </w:r>
          </w:p>
        </w:tc>
        <w:tc>
          <w:tcPr>
            <w:tcW w:type="dxa" w:w="2880"/>
          </w:tcPr>
          <w:p>
            <w:r>
              <w:t>按里程碑</w:t>
            </w:r>
          </w:p>
        </w:tc>
        <w:tc>
          <w:tcPr>
            <w:tcW w:type="dxa" w:w="2880"/>
          </w:tcPr>
          <w:p>
            <w:r>
              <w:t>FAT 邀甲方见证；HAT 含六条失效场景故障注入；SAT 含吊舱映射标定；30 天观察期数据按检试大纲口径统计</w:t>
            </w:r>
          </w:p>
        </w:tc>
      </w:tr>
      <w:tr>
        <w:tc>
          <w:tcPr>
            <w:tcW w:type="dxa" w:w="2880"/>
          </w:tcPr>
          <w:p>
            <w:r>
              <w:t>质量记录与 as-built</w:t>
            </w:r>
          </w:p>
        </w:tc>
        <w:tc>
          <w:tcPr>
            <w:tcW w:type="dxa" w:w="2880"/>
          </w:tcPr>
          <w:p>
            <w:r>
              <w:t>贯穿</w:t>
            </w:r>
          </w:p>
        </w:tc>
        <w:tc>
          <w:tcPr>
            <w:tcW w:type="dxa" w:w="2880"/>
          </w:tcPr>
          <w:p>
            <w:r>
              <w:t>检验记录、标定参数、as-built 图纸(T7.3)单独核销归档——首制船记录 = 量产复制资产</w:t>
            </w:r>
          </w:p>
        </w:tc>
      </w:tr>
    </w:tbl>
    <w:p>
      <w:r>
        <w:rPr>
          <w:b/>
          <w:i w:val="0"/>
        </w:rPr>
        <w:t>两周后自检信号：①协议已签（M0 有日期）；②澄清函三项全部收到书面回函；③联络矩阵无空格；④基线换算为日历日期发布；⑤712 界面确认单返回。五项达成，项目从“材料齐、管理空”转为“受控启动”。</w:t>
      </w:r>
    </w:p>
    <w:p>
      <w:pPr>
        <w:pStyle w:val="Heading1"/>
      </w:pPr>
      <w:r>
        <w:t>八、附录</w:t>
      </w:r>
    </w:p>
    <w:p>
      <w:pPr>
        <w:pStyle w:val="Heading2"/>
      </w:pPr>
      <w:r>
        <w:t>8.1 待定项台账（初版，12 条，源自 V2 第八章）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待定项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影响关键路径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建议责任方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建议闭环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副驾控台“控制面板”清单与“不带按键面板”注释矛盾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浦立泽+设计院</w:t>
            </w:r>
          </w:p>
        </w:tc>
        <w:tc>
          <w:tcPr>
            <w:tcW w:type="dxa" w:w="1728"/>
          </w:tcPr>
          <w:p>
            <w:r>
              <w:t>W2 澄清函（A1）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智控→手动退出条件（是否需转速归零）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浦立泽+甲方</w:t>
            </w:r>
          </w:p>
        </w:tc>
        <w:tc>
          <w:tcPr>
            <w:tcW w:type="dxa" w:w="1728"/>
          </w:tcPr>
          <w:p>
            <w:r>
              <w:t>W2 问询、联调验证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控制接线板/动力转向“3 套”数量构成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双方</w:t>
            </w:r>
          </w:p>
        </w:tc>
        <w:tc>
          <w:tcPr>
            <w:tcW w:type="dxa" w:w="1728"/>
          </w:tcPr>
          <w:p>
            <w:r>
              <w:t>W4 供货清单确认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ICC/IGS 采集单元上行总线介质（CAN/以太网/Modbus TCP）逐台标注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浦立泽</w:t>
            </w:r>
          </w:p>
        </w:tc>
        <w:tc>
          <w:tcPr>
            <w:tcW w:type="dxa" w:w="1728"/>
          </w:tcPr>
          <w:p>
            <w:r>
              <w:t>W2 澄清函（A1）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推进手柄、电子方向机是否独立供电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浦立泽（712 配合）</w:t>
            </w:r>
          </w:p>
        </w:tc>
        <w:tc>
          <w:tcPr>
            <w:tcW w:type="dxa" w:w="1728"/>
          </w:tcPr>
          <w:p>
            <w:r>
              <w:t>W2 澄清函（A1）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惯导馈线（标 10m）/雷达通信线（标 4m）实际长度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船厂测量+浦立泽</w:t>
            </w:r>
          </w:p>
        </w:tc>
        <w:tc>
          <w:tcPr>
            <w:tcW w:type="dxa" w:w="1728"/>
          </w:tcPr>
          <w:p>
            <w:r>
              <w:t>W3 随预铺窗口确认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动态声呐安装位置踏勘 + 支架方案（支架需提前制作）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浦立泽+船厂</w:t>
            </w:r>
          </w:p>
        </w:tc>
        <w:tc>
          <w:tcPr>
            <w:tcW w:type="dxa" w:w="1728"/>
          </w:tcPr>
          <w:p>
            <w:r>
              <w:t>W4 踏勘纪要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吊舱 0–330° 与方向盘圈数映射标定</w:t>
            </w:r>
          </w:p>
        </w:tc>
        <w:tc>
          <w:tcPr>
            <w:tcW w:type="dxa" w:w="1728"/>
          </w:tcPr>
          <w:p>
            <w:r>
              <w:t>是（SAT 阶段）</w:t>
            </w:r>
          </w:p>
        </w:tc>
        <w:tc>
          <w:tcPr>
            <w:tcW w:type="dxa" w:w="1728"/>
          </w:tcPr>
          <w:p>
            <w:r>
              <w:t>浦立泽</w:t>
            </w:r>
          </w:p>
        </w:tc>
        <w:tc>
          <w:tcPr>
            <w:tcW w:type="dxa" w:w="1728"/>
          </w:tcPr>
          <w:p>
            <w:r>
              <w:t>SAT 实测（T6.1）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总用泵/舵角传感器是否配置（若无删端子）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甲方</w:t>
            </w:r>
          </w:p>
        </w:tc>
        <w:tc>
          <w:tcPr>
            <w:tcW w:type="dxa" w:w="1728"/>
          </w:tcPr>
          <w:p>
            <w:r>
              <w:t>W4 确认单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显控屏端口级信号分配（惯导落哪路 CAN/串口）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浦立泽</w:t>
            </w:r>
          </w:p>
        </w:tc>
        <w:tc>
          <w:tcPr>
            <w:tcW w:type="dxa" w:w="1728"/>
          </w:tcPr>
          <w:p>
            <w:r>
              <w:t>正式接线图阶段（T1.9）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出厂试验仅 2 项、“△”含义不明 → 检试大纲重编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双方会签</w:t>
            </w:r>
          </w:p>
        </w:tc>
        <w:tc>
          <w:tcPr>
            <w:tcW w:type="dxa" w:w="1728"/>
          </w:tcPr>
          <w:p>
            <w:r>
              <w:t>W5 前（A8）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4G 上云无网关（可选项决策）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甲方决策</w:t>
            </w:r>
          </w:p>
        </w:tc>
        <w:tc>
          <w:tcPr>
            <w:tcW w:type="dxa" w:w="1728"/>
          </w:tcPr>
          <w:p>
            <w:r>
              <w:t>M1 前（A9）</w:t>
            </w:r>
          </w:p>
        </w:tc>
      </w:tr>
    </w:tbl>
    <w:p>
      <w:pPr>
        <w:pStyle w:val="Heading2"/>
      </w:pPr>
      <w:r>
        <w:t>8.2 风险登记（V2 表 B 5 条 + PMO 建议新增 4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可能性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影响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应对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责任方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副台面板范围理解偏差 → 安装/接线返工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详设前书面确认副台面板元器件清单</w:t>
            </w:r>
          </w:p>
        </w:tc>
        <w:tc>
          <w:tcPr>
            <w:tcW w:type="dxa" w:w="1440"/>
          </w:tcPr>
          <w:p>
            <w:r>
              <w:t>浦立泽+设计院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智控退出条件缺失 → 切回人工时推进器带速/带角的安全隐患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联调前锁定退出条件并做安全测试</w:t>
            </w:r>
          </w:p>
        </w:tc>
        <w:tc>
          <w:tcPr>
            <w:tcW w:type="dxa" w:w="1440"/>
          </w:tcPr>
          <w:p>
            <w:r>
              <w:t>浦立泽+船厂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采集单元上行总线未明确 → 布线阶段临时变更走线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提前出正式接线图并会签</w:t>
            </w:r>
          </w:p>
        </w:tc>
        <w:tc>
          <w:tcPr>
            <w:tcW w:type="dxa" w:w="1440"/>
          </w:tcPr>
          <w:p>
            <w:r>
              <w:t>浦立泽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验收标准笼统 → 交船前对“合格”产生争议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出厂前补充可量化验收大纲并会签</w:t>
            </w:r>
          </w:p>
        </w:tc>
        <w:tc>
          <w:tcPr>
            <w:tcW w:type="dxa" w:w="1440"/>
          </w:tcPr>
          <w:p>
            <w:r>
              <w:t>双方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“智控”命名被误解为自主决策能力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对外统一话术（V2 零章口径）</w:t>
            </w:r>
          </w:p>
        </w:tc>
        <w:tc>
          <w:tcPr>
            <w:tcW w:type="dxa" w:w="1440"/>
          </w:tcPr>
          <w:p>
            <w:r>
              <w:t>浦立泽+销售</w:t>
            </w:r>
          </w:p>
        </w:tc>
      </w:tr>
      <w:tr>
        <w:tc>
          <w:tcPr>
            <w:tcW w:type="dxa" w:w="1440"/>
          </w:tcPr>
          <w:p>
            <w:r>
              <w:t>6（新增）</w:t>
            </w:r>
          </w:p>
        </w:tc>
        <w:tc>
          <w:tcPr>
            <w:tcW w:type="dxa" w:w="1440"/>
          </w:tcPr>
          <w:p>
            <w:r>
              <w:t>712 所 VCU/手柄到货延期或接口不符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界面确认函+到货节点进基线+提前索取接口协议文本做桌面评审</w:t>
            </w:r>
          </w:p>
        </w:tc>
        <w:tc>
          <w:tcPr>
            <w:tcW w:type="dxa" w:w="1440"/>
          </w:tcPr>
          <w:p>
            <w:r>
              <w:t>PM+PMO</w:t>
            </w:r>
          </w:p>
        </w:tc>
      </w:tr>
      <w:tr>
        <w:tc>
          <w:tcPr>
            <w:tcW w:type="dxa" w:w="1440"/>
          </w:tcPr>
          <w:p>
            <w:r>
              <w:t>7（新增）</w:t>
            </w:r>
          </w:p>
        </w:tc>
        <w:tc>
          <w:tcPr>
            <w:tcW w:type="dxa" w:w="1440"/>
          </w:tcPr>
          <w:p>
            <w:r>
              <w:t>长周期物料交期超预期改写关键路径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下单前逐项书面交期；交期台账周更；超期即启动替代/催货</w:t>
            </w:r>
          </w:p>
        </w:tc>
        <w:tc>
          <w:tcPr>
            <w:tcW w:type="dxa" w:w="1440"/>
          </w:tcPr>
          <w:p>
            <w:r>
              <w:t>PMO</w:t>
            </w:r>
          </w:p>
        </w:tc>
      </w:tr>
      <w:tr>
        <w:tc>
          <w:tcPr>
            <w:tcW w:type="dxa" w:w="1440"/>
          </w:tcPr>
          <w:p>
            <w:r>
              <w:t>8（新增）</w:t>
            </w:r>
          </w:p>
        </w:tc>
        <w:tc>
          <w:tcPr>
            <w:tcW w:type="dxa" w:w="1440"/>
          </w:tcPr>
          <w:p>
            <w:r>
              <w:t>多方协同信息断链（六方无联络矩阵、口径滞留电话/微信）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A3 落名；所有跨方确认书面留痕（邮件/会签/纪要）</w:t>
            </w:r>
          </w:p>
        </w:tc>
        <w:tc>
          <w:tcPr>
            <w:tcW w:type="dxa" w:w="1440"/>
          </w:tcPr>
          <w:p>
            <w:r>
              <w:t>PMO</w:t>
            </w:r>
          </w:p>
        </w:tc>
      </w:tr>
      <w:tr>
        <w:tc>
          <w:tcPr>
            <w:tcW w:type="dxa" w:w="1440"/>
          </w:tcPr>
          <w:p>
            <w:r>
              <w:t>9（新增）</w:t>
            </w:r>
          </w:p>
        </w:tc>
        <w:tc>
          <w:tcPr>
            <w:tcW w:type="dxa" w:w="1440"/>
          </w:tcPr>
          <w:p>
            <w:r>
              <w:t>30 天观察期未纳入商务交船口径 → 交付日期预期错位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对外承诺一律按含观察期的 M6 日期；写入基线说明</w:t>
            </w:r>
          </w:p>
        </w:tc>
        <w:tc>
          <w:tcPr>
            <w:tcW w:type="dxa" w:w="1440"/>
          </w:tcPr>
          <w:p>
            <w:r>
              <w:t>PM+商务</w:t>
            </w:r>
          </w:p>
        </w:tc>
      </w:tr>
    </w:tbl>
    <w:p>
      <w:pPr>
        <w:pStyle w:val="Heading2"/>
      </w:pPr>
      <w:r>
        <w:t>8.3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VCU</w:t>
            </w:r>
          </w:p>
        </w:tc>
        <w:tc>
          <w:tcPr>
            <w:tcW w:type="dxa" w:w="4320"/>
          </w:tcPr>
          <w:p>
            <w:r>
              <w:t>整车/船控制单元（本项目为 712 所供货，主副台各一套，CAN 互联仲裁）</w:t>
            </w:r>
          </w:p>
        </w:tc>
      </w:tr>
      <w:tr>
        <w:tc>
          <w:tcPr>
            <w:tcW w:type="dxa" w:w="4320"/>
          </w:tcPr>
          <w:p>
            <w:r>
              <w:t>INT / EXT</w:t>
            </w:r>
          </w:p>
        </w:tc>
        <w:tc>
          <w:tcPr>
            <w:tcW w:type="dxa" w:w="4320"/>
          </w:tcPr>
          <w:p>
            <w:r>
              <w:t>手柄操控模式 / 智控（电子遥控+闭环跟随）模式</w:t>
            </w:r>
          </w:p>
        </w:tc>
      </w:tr>
      <w:tr>
        <w:tc>
          <w:tcPr>
            <w:tcW w:type="dxa" w:w="4320"/>
          </w:tcPr>
          <w:p>
            <w:r>
              <w:t>FAT / HAT / SAT</w:t>
            </w:r>
          </w:p>
        </w:tc>
        <w:tc>
          <w:tcPr>
            <w:tcW w:type="dxa" w:w="4320"/>
          </w:tcPr>
          <w:p>
            <w:r>
              <w:t>工厂验收试验 / 码头系泊试验 / 航行试验（三级验收框架，V2 第九章）</w:t>
            </w:r>
          </w:p>
        </w:tc>
      </w:tr>
      <w:tr>
        <w:tc>
          <w:tcPr>
            <w:tcW w:type="dxa" w:w="4320"/>
          </w:tcPr>
          <w:p>
            <w:r>
              <w:t>M0–M6</w:t>
            </w:r>
          </w:p>
        </w:tc>
        <w:tc>
          <w:tcPr>
            <w:tcW w:type="dxa" w:w="4320"/>
          </w:tcPr>
          <w:p>
            <w:r>
              <w:t>合同生效→详设冻结→出厂就绪→安装完成→系泊通过→航行通过→交付验收</w:t>
            </w:r>
          </w:p>
        </w:tc>
      </w:tr>
      <w:tr>
        <w:tc>
          <w:tcPr>
            <w:tcW w:type="dxa" w:w="4320"/>
          </w:tcPr>
          <w:p>
            <w:r>
              <w:t>缝 A–E</w:t>
            </w:r>
          </w:p>
        </w:tc>
        <w:tc>
          <w:tcPr>
            <w:tcW w:type="dxa" w:w="4320"/>
          </w:tcPr>
          <w:p>
            <w:r>
              <w:t>五条协同界面：甲乙主缝 / 供货边界 / 712 界面 / 船厂界面 / 两地协同</w:t>
            </w:r>
          </w:p>
        </w:tc>
      </w:tr>
      <w:tr>
        <w:tc>
          <w:tcPr>
            <w:tcW w:type="dxa" w:w="4320"/>
          </w:tcPr>
          <w:p>
            <w:r>
              <w:t>五方验收</w:t>
            </w:r>
          </w:p>
        </w:tc>
        <w:tc>
          <w:tcPr>
            <w:tcW w:type="dxa" w:w="4320"/>
          </w:tcPr>
          <w:p>
            <w:r>
              <w:t>甲方、船东、船厂、设计院、设备商共同清点签字（T7.4）</w:t>
            </w:r>
          </w:p>
        </w:tc>
      </w:tr>
      <w:tr>
        <w:tc>
          <w:tcPr>
            <w:tcW w:type="dxa" w:w="4320"/>
          </w:tcPr>
          <w:p>
            <w:r>
              <w:t>待定项</w:t>
            </w:r>
          </w:p>
        </w:tc>
        <w:tc>
          <w:tcPr>
            <w:tcW w:type="dxa" w:w="4320"/>
          </w:tcPr>
          <w:p>
            <w:r>
              <w:t>V2 第八章 12 条未决事项，闭环前不得冻结相关设计</w:t>
            </w:r>
          </w:p>
        </w:tc>
      </w:tr>
      <w:tr>
        <w:tc>
          <w:tcPr>
            <w:tcW w:type="dxa" w:w="4320"/>
          </w:tcPr>
          <w:p>
            <w:r>
              <w:t>as-built</w:t>
            </w:r>
          </w:p>
        </w:tc>
        <w:tc>
          <w:tcPr>
            <w:tcW w:type="dxa" w:w="4320"/>
          </w:tcPr>
          <w:p>
            <w:r>
              <w:t>按实际安装/联调结果回灌更新的竣工版图纸（T7.3），量产复制的基础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——本文档由 PMO 维护；技术口径以《技术方案 V2》为准，任务明细以《完整项目任务清单》为准；三者不一致时以最新会签版为准并升版本文。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