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pPr>
    </w:p>
    <w:p>
      <w:pPr>
        <w:jc w:val="center"/>
      </w:pPr>
      <w:r>
        <w:rPr>
          <w:rFonts w:ascii="微软雅黑" w:hAnsi="微软雅黑" w:eastAsia="微软雅黑"/>
          <w:b/>
          <w:color w:val="164E8C"/>
          <w:sz w:val="60"/>
        </w:rPr>
        <w:t>智能船机交互系统</w:t>
      </w:r>
    </w:p>
    <w:p>
      <w:pPr>
        <w:jc w:val="center"/>
      </w:pPr>
      <w:r>
        <w:rPr>
          <w:rFonts w:ascii="微软雅黑" w:hAnsi="微软雅黑" w:eastAsia="微软雅黑"/>
          <w:color w:val="0B7A6E"/>
          <w:sz w:val="34"/>
        </w:rPr>
        <w:t>核心产品技术方案</w:t>
      </w:r>
    </w:p>
    <w:p>
      <w:pPr>
        <w:jc w:val="center"/>
      </w:pPr>
      <w:r>
        <w:rPr>
          <w:rFonts w:ascii="微软雅黑" w:hAnsi="微软雅黑" w:eastAsia="微软雅黑"/>
          <w:color w:val="666666"/>
          <w:sz w:val="23"/>
        </w:rPr>
        <w:t>软硬件一体的船端人机协同驾控中枢</w:t>
      </w:r>
    </w:p>
    <w:p/>
    <w:p/>
    <w:tbl>
      <w:tblPr>
        <w:tblW w:type="auto" w:w="0"/>
        <w:jc w:val="center"/>
        <w:tblLook w:firstColumn="1" w:firstRow="1" w:lastColumn="0" w:lastRow="0" w:noHBand="0" w:noVBand="1" w:val="04A0"/>
      </w:tblPr>
      <w:tblGrid>
        <w:gridCol w:w="4646"/>
        <w:gridCol w:w="4646"/>
      </w:tblGrid>
      <w:tr>
        <w:tc>
          <w:tcPr>
            <w:tcW w:type="dxa" w:w="2268"/>
            <w:shd w:val="clear" w:color="auto" w:fill="EAF0F8"/>
          </w:tcPr>
          <w:p>
            <w:r/>
            <w:r>
              <w:rPr>
                <w:rFonts w:ascii="微软雅黑" w:hAnsi="微软雅黑" w:eastAsia="微软雅黑"/>
                <w:b/>
                <w:sz w:val="21"/>
              </w:rPr>
              <w:t>文档版本</w:t>
            </w:r>
          </w:p>
        </w:tc>
        <w:tc>
          <w:tcPr>
            <w:tcW w:type="dxa" w:w="6236"/>
          </w:tcPr>
          <w:p>
            <w:r/>
            <w:r>
              <w:rPr>
                <w:rFonts w:ascii="微软雅黑" w:hAnsi="微软雅黑" w:eastAsia="微软雅黑"/>
                <w:sz w:val="21"/>
              </w:rPr>
              <w:t>V1.0</w:t>
            </w:r>
          </w:p>
        </w:tc>
      </w:tr>
      <w:tr>
        <w:tc>
          <w:tcPr>
            <w:tcW w:type="dxa" w:w="2268"/>
            <w:shd w:val="clear" w:color="auto" w:fill="EAF0F8"/>
          </w:tcPr>
          <w:p>
            <w:r/>
            <w:r>
              <w:rPr>
                <w:rFonts w:ascii="微软雅黑" w:hAnsi="微软雅黑" w:eastAsia="微软雅黑"/>
                <w:b/>
                <w:sz w:val="21"/>
              </w:rPr>
              <w:t>文档性质</w:t>
            </w:r>
          </w:p>
        </w:tc>
        <w:tc>
          <w:tcPr>
            <w:tcW w:type="dxa" w:w="6236"/>
          </w:tcPr>
          <w:p>
            <w:r/>
            <w:r>
              <w:rPr>
                <w:rFonts w:ascii="微软雅黑" w:hAnsi="微软雅黑" w:eastAsia="微软雅黑"/>
                <w:sz w:val="21"/>
              </w:rPr>
              <w:t>产品级技术方案</w:t>
            </w:r>
          </w:p>
        </w:tc>
      </w:tr>
      <w:tr>
        <w:tc>
          <w:tcPr>
            <w:tcW w:type="dxa" w:w="2268"/>
            <w:shd w:val="clear" w:color="auto" w:fill="EAF0F8"/>
          </w:tcPr>
          <w:p>
            <w:r/>
            <w:r>
              <w:rPr>
                <w:rFonts w:ascii="微软雅黑" w:hAnsi="微软雅黑" w:eastAsia="微软雅黑"/>
                <w:b/>
                <w:sz w:val="21"/>
              </w:rPr>
              <w:t>适用读者</w:t>
            </w:r>
          </w:p>
        </w:tc>
        <w:tc>
          <w:tcPr>
            <w:tcW w:type="dxa" w:w="6236"/>
          </w:tcPr>
          <w:p>
            <w:r/>
            <w:r>
              <w:rPr>
                <w:rFonts w:ascii="微软雅黑" w:hAnsi="微软雅黑" w:eastAsia="微软雅黑"/>
                <w:sz w:val="21"/>
              </w:rPr>
              <w:t>船东与航运企业 · 技术评审 · 行业专家</w:t>
            </w:r>
          </w:p>
        </w:tc>
      </w:tr>
      <w:tr>
        <w:tc>
          <w:tcPr>
            <w:tcW w:type="dxa" w:w="2268"/>
            <w:shd w:val="clear" w:color="auto" w:fill="EAF0F8"/>
          </w:tcPr>
          <w:p>
            <w:r/>
            <w:r>
              <w:rPr>
                <w:rFonts w:ascii="微软雅黑" w:hAnsi="微软雅黑" w:eastAsia="微软雅黑"/>
                <w:b/>
                <w:sz w:val="21"/>
              </w:rPr>
              <w:t>编制日期</w:t>
            </w:r>
          </w:p>
        </w:tc>
        <w:tc>
          <w:tcPr>
            <w:tcW w:type="dxa" w:w="6236"/>
          </w:tcPr>
          <w:p>
            <w:r/>
            <w:r>
              <w:rPr>
                <w:rFonts w:ascii="微软雅黑" w:hAnsi="微软雅黑" w:eastAsia="微软雅黑"/>
                <w:sz w:val="21"/>
              </w:rPr>
              <w:t>2026 年 6 月</w:t>
            </w:r>
          </w:p>
        </w:tc>
      </w:tr>
    </w:tbl>
    <w:p>
      <w:r>
        <w:br w:type="page"/>
      </w:r>
    </w:p>
    <w:p>
      <w:pPr>
        <w:spacing w:before="320" w:after="120"/>
        <w:pBdr>
          <w:bottom w:val="single" w:sz="6" w:space="4" w:color="164E8C"/>
        </w:pBdr>
      </w:pPr>
      <w:r>
        <w:rPr>
          <w:rFonts w:ascii="微软雅黑" w:hAnsi="微软雅黑" w:eastAsia="微软雅黑"/>
          <w:b/>
          <w:color w:val="164E8C"/>
          <w:sz w:val="30"/>
        </w:rPr>
        <w:t>一、项目背景与产品定位</w:t>
      </w:r>
    </w:p>
    <w:p>
      <w:pPr>
        <w:jc w:val="both"/>
      </w:pPr>
      <w:r>
        <w:rPr>
          <w:rFonts w:ascii="微软雅黑" w:hAnsi="微软雅黑" w:eastAsia="微软雅黑"/>
        </w:rPr>
        <w:t>近年来,智能航运、绿色航运与远程运维加速推进,船舶的运行方式正从传统的"船上单点驾驶"向"船端智能、岸端协同、数据贯通"演进。然而在大量在役与新造船舶上,真正制约智能化落地的,往往并不是缺少某一台先进设备,而是船上数十类设备分属不同厂家、采用不同协议、各自维护着一套独立的界面与数据口径。其直接后果是:驾驶台与机舱人员不得不在多套系统之间反复切换;真正关键的告警淹没在大量无差别的提示之中;船端与岸端各自只掌握一部分信息,难以形成统一的运行态势。更深一层的问题在于,这些彼此割裂的数据无法沉淀为可复用的资产,每一条船都要从头集成一遍,既难以快速复制,也难以为后续的预测性维护与智能分析打下基础。</w:t>
      </w:r>
    </w:p>
    <w:p>
      <w:pPr>
        <w:jc w:val="both"/>
      </w:pPr>
      <w:r>
        <w:rPr>
          <w:rFonts w:ascii="微软雅黑" w:hAnsi="微软雅黑" w:eastAsia="微软雅黑"/>
        </w:rPr>
        <w:t>智能船机交互系统正是针对这一根本问题而设计。它是一套软硬件一体的船端人机协同驾控中枢:在一套统一、稳定的 AI-IoT 数据底座之上,把全船设备的数据标准化地汇聚起来,再以船员能够直接使用的方式,呈现为"看得见、问得清、操得动、控得住"的统一体验,并可顺势向岸端延伸,支撑远程监管、远程协助与人员培训。在结构上,系统分为两层:底层是 AI-IoT 数据底座,负责异构设备数据的接入、解析与标准化,解决"设备到数据"的问题;上层是面向人的交互与驾控,负责把标准化的数据转化为驾控体验与操作能力,解决"数据到人机"的问题。两层之间以明确的接口契约衔接,可以各自独立演进——底层增加新设备、新协议时上层无须改动,上层增加新界面、新场景时底层保持不变。这种分层,正是产品能够在不同船型上快速复制、并支撑长期迭代的根基。</w:t>
      </w:r>
    </w:p>
    <w:p>
      <w:pPr>
        <w:jc w:val="both"/>
      </w:pPr>
      <w:r>
        <w:rPr>
          <w:rFonts w:ascii="微软雅黑" w:hAnsi="微软雅黑" w:eastAsia="微软雅黑"/>
        </w:rPr>
      </w:r>
      <w:r>
        <w:rPr>
          <w:rFonts w:ascii="微软雅黑" w:hAnsi="微软雅黑" w:eastAsia="微软雅黑"/>
          <w:b/>
        </w:rPr>
        <w:t>本项目以实船应用为目标。</w:t>
      </w:r>
      <w:r>
        <w:rPr>
          <w:rFonts w:ascii="微软雅黑" w:hAnsi="微软雅黑" w:eastAsia="微软雅黑"/>
        </w:rPr>
        <w:t xml:space="preserve"> 系统将在真实营运船舶上完成安装、联调与试运行,在实船环境中检验设备接入的稳定性、数据的准确性与人机交互的可用性;待实船稳定运行、积累足够运行数据之后,再依据船级社相关规范推进 CCS 认证,使产品从"工程可用"走向"规范可认证"。换言之,认证建立在真实船舶运行与现场验证的基础之上,是项目自然推进的下一步,而非一句口头承诺。</w:t>
      </w:r>
    </w:p>
    <w:p>
      <w:pPr>
        <w:jc w:val="both"/>
      </w:pPr>
      <w:r>
        <w:rPr>
          <w:rFonts w:ascii="微软雅黑" w:hAnsi="微软雅黑" w:eastAsia="微软雅黑"/>
        </w:rPr>
        <w:t>在已交付的同类应用中,这种软硬件一体、统一接入的形态相比传统多厂家分散集成的方式,在管理成本、现场交付周期与日常运维成本三方面均有明显改善,典型量级如下。</w:t>
      </w:r>
    </w:p>
    <w:tbl>
      <w:tblPr>
        <w:tblW w:type="auto" w:w="0"/>
        <w:jc w:val="center"/>
        <w:tblLook w:firstColumn="1" w:firstRow="1" w:lastColumn="0" w:lastRow="0" w:noHBand="0" w:noVBand="1" w:val="04A0"/>
      </w:tblPr>
      <w:tblGrid>
        <w:gridCol w:w="2323"/>
        <w:gridCol w:w="2323"/>
        <w:gridCol w:w="2323"/>
        <w:gridCol w:w="2323"/>
      </w:tblGrid>
      <w:tr>
        <w:tc>
          <w:tcPr>
            <w:tcW w:type="dxa" w:w="2323"/>
            <w:shd w:val="clear" w:color="auto" w:fill="164E8C"/>
          </w:tcPr>
          <w:p>
            <w:pPr>
              <w:jc w:val="center"/>
            </w:pPr>
            <w:r/>
            <w:r>
              <w:rPr>
                <w:rFonts w:ascii="微软雅黑" w:hAnsi="微软雅黑" w:eastAsia="微软雅黑"/>
                <w:b/>
                <w:color w:val="FFFFFF"/>
                <w:sz w:val="40"/>
              </w:rPr>
              <w:t>-50%</w:t>
            </w:r>
          </w:p>
          <w:p>
            <w:pPr>
              <w:jc w:val="center"/>
            </w:pPr>
            <w:r>
              <w:rPr>
                <w:rFonts w:ascii="微软雅黑" w:hAnsi="微软雅黑" w:eastAsia="微软雅黑"/>
                <w:color w:val="DDE6F2"/>
                <w:sz w:val="19"/>
              </w:rPr>
              <w:t>管理成本</w:t>
            </w:r>
          </w:p>
        </w:tc>
        <w:tc>
          <w:tcPr>
            <w:tcW w:type="dxa" w:w="2323"/>
            <w:shd w:val="clear" w:color="auto" w:fill="164E8C"/>
          </w:tcPr>
          <w:p>
            <w:pPr>
              <w:jc w:val="center"/>
            </w:pPr>
            <w:r/>
            <w:r>
              <w:rPr>
                <w:rFonts w:ascii="微软雅黑" w:hAnsi="微软雅黑" w:eastAsia="微软雅黑"/>
                <w:b/>
                <w:color w:val="FFFFFF"/>
                <w:sz w:val="40"/>
              </w:rPr>
              <w:t>-60%</w:t>
            </w:r>
          </w:p>
          <w:p>
            <w:pPr>
              <w:jc w:val="center"/>
            </w:pPr>
            <w:r>
              <w:rPr>
                <w:rFonts w:ascii="微软雅黑" w:hAnsi="微软雅黑" w:eastAsia="微软雅黑"/>
                <w:color w:val="DDE6F2"/>
                <w:sz w:val="19"/>
              </w:rPr>
              <w:t>交付周期</w:t>
            </w:r>
          </w:p>
        </w:tc>
        <w:tc>
          <w:tcPr>
            <w:tcW w:type="dxa" w:w="2323"/>
            <w:shd w:val="clear" w:color="auto" w:fill="164E8C"/>
          </w:tcPr>
          <w:p>
            <w:pPr>
              <w:jc w:val="center"/>
            </w:pPr>
            <w:r/>
            <w:r>
              <w:rPr>
                <w:rFonts w:ascii="微软雅黑" w:hAnsi="微软雅黑" w:eastAsia="微软雅黑"/>
                <w:b/>
                <w:color w:val="FFFFFF"/>
                <w:sz w:val="40"/>
              </w:rPr>
              <w:t>-55%</w:t>
            </w:r>
          </w:p>
          <w:p>
            <w:pPr>
              <w:jc w:val="center"/>
            </w:pPr>
            <w:r>
              <w:rPr>
                <w:rFonts w:ascii="微软雅黑" w:hAnsi="微软雅黑" w:eastAsia="微软雅黑"/>
                <w:color w:val="DDE6F2"/>
                <w:sz w:val="19"/>
              </w:rPr>
              <w:t>运维成本</w:t>
            </w:r>
          </w:p>
        </w:tc>
        <w:tc>
          <w:tcPr>
            <w:tcW w:type="dxa" w:w="2323"/>
            <w:shd w:val="clear" w:color="auto" w:fill="164E8C"/>
          </w:tcPr>
          <w:p>
            <w:pPr>
              <w:jc w:val="center"/>
            </w:pPr>
            <w:r/>
            <w:r>
              <w:rPr>
                <w:rFonts w:ascii="微软雅黑" w:hAnsi="微软雅黑" w:eastAsia="微软雅黑"/>
                <w:b/>
                <w:color w:val="FFFFFF"/>
                <w:sz w:val="40"/>
              </w:rPr>
              <w:t>50+</w:t>
            </w:r>
          </w:p>
          <w:p>
            <w:pPr>
              <w:jc w:val="center"/>
            </w:pPr>
            <w:r>
              <w:rPr>
                <w:rFonts w:ascii="微软雅黑" w:hAnsi="微软雅黑" w:eastAsia="微软雅黑"/>
                <w:color w:val="DDE6F2"/>
                <w:sz w:val="19"/>
              </w:rPr>
              <w:t>单台终端接入设备</w:t>
            </w:r>
          </w:p>
        </w:tc>
      </w:tr>
    </w:tbl>
    <w:p>
      <w:pPr>
        <w:spacing w:after="120"/>
      </w:pPr>
    </w:p>
    <w:p>
      <w:pPr>
        <w:spacing w:before="320" w:after="120"/>
        <w:pBdr>
          <w:bottom w:val="single" w:sz="6" w:space="4" w:color="164E8C"/>
        </w:pBdr>
      </w:pPr>
      <w:r>
        <w:rPr>
          <w:rFonts w:ascii="微软雅黑" w:hAnsi="微软雅黑" w:eastAsia="微软雅黑"/>
          <w:b/>
          <w:color w:val="164E8C"/>
          <w:sz w:val="30"/>
        </w:rPr>
        <w:t>二、AI-IoT 数据底座:总体架构与技术说明</w:t>
      </w:r>
    </w:p>
    <w:p>
      <w:pPr>
        <w:jc w:val="both"/>
      </w:pPr>
      <w:r>
        <w:rPr>
          <w:rFonts w:ascii="微软雅黑" w:hAnsi="微软雅黑" w:eastAsia="微软雅黑"/>
        </w:rPr>
        <w:t>AI-IoT 数据底座是整个系统的技术基础。它面向船舶现场的设备接入、运行监控、告警管理、健康评分与智能诊断而建设,整体由采集端边缘网关、服务端业务中台、消息与数据存储组件,以及日志与可视化运维组件共同构成。底座的目标并不是简单地完成单台设备的数据读取,而是建立一套可扩展、可运维、可追溯的船舶设备接入与监控平台:它能够对 NMEA 0183、CAN、Modbus TCP、Modbus RTU 等现场协议进行统一接入,对采集数据进行结构化处理,并向前端大屏、Web 系统或第三方平台提供标准化接口。</w:t>
      </w:r>
    </w:p>
    <w:p>
      <w:pPr>
        <w:spacing w:before="200" w:after="60"/>
      </w:pPr>
      <w:r>
        <w:rPr>
          <w:rFonts w:ascii="微软雅黑" w:hAnsi="微软雅黑" w:eastAsia="微软雅黑"/>
          <w:b/>
          <w:color w:val="0B7A6E"/>
          <w:sz w:val="24"/>
        </w:rPr>
        <w:t>2.1  总体架构与设计理念</w:t>
      </w:r>
    </w:p>
    <w:p>
      <w:pPr>
        <w:jc w:val="both"/>
      </w:pPr>
      <w:r>
        <w:rPr>
          <w:rFonts w:ascii="微软雅黑" w:hAnsi="微软雅黑" w:eastAsia="微软雅黑"/>
        </w:rPr>
        <w:t>底座整体采用"边缘采集 + 消息总线 + 服务端业务中台 + 数据存储 + 可视化运维"的架构。采集端负责现场设备接入与协议解析,服务端负责业务建模、监控告警、健康评分、动态设备管理与 AI 诊断接口输出,两者之间通过消息总线衔接。完整的数据链路是:现场设备、PLC、串口服务器或 CAN 设备的数据,先由采集端完成协议解析与标准化,经 MQTT 消息总线分发到服务端,服务端在更新实时状态的同时写入数据库,最终由 Web 前端、驾驶台大屏、机舱屏、第三方系统或 AI 诊断服务通过接口或实时推送获取;系统运行状态与日志则汇聚到统一的运维可视化组件。</w:t>
      </w:r>
    </w:p>
    <w:p>
      <w:pPr>
        <w:jc w:val="both"/>
      </w:pPr>
      <w:r>
        <w:rPr>
          <w:rFonts w:ascii="微软雅黑" w:hAnsi="微软雅黑" w:eastAsia="微软雅黑"/>
        </w:rPr>
        <w:t>这一架构有四个鲜明特点。其一是分层解耦,现场协议接入、数据解析、业务服务、前端展示与运维监控彼此独立,便于分阶段交付与后续扩展;其二是消息驱动,采集链路通过消息总线分发设备数据、状态、错误与识别事件,兼顾实时性与扩展性;其三是数据留痕,关键采集记录、设备台账、告警历史与健康评分历史均可持久化,便于查询与追溯;其四是动态扩展,已知设备可自动绑定,未知设备则通过 AI 辅助识别与人工确认的流程逐步纳入标准链路。</w:t>
      </w:r>
    </w:p>
    <w:p>
      <w:pPr>
        <w:spacing w:before="200" w:after="60"/>
      </w:pPr>
      <w:r>
        <w:rPr>
          <w:rFonts w:ascii="微软雅黑" w:hAnsi="微软雅黑" w:eastAsia="微软雅黑"/>
          <w:b/>
          <w:color w:val="0B7A6E"/>
          <w:sz w:val="24"/>
        </w:rPr>
        <w:t>2.2  系统组成</w:t>
      </w:r>
    </w:p>
    <w:p>
      <w:pPr>
        <w:jc w:val="both"/>
      </w:pPr>
      <w:r>
        <w:rPr>
          <w:rFonts w:ascii="微软雅黑" w:hAnsi="微软雅黑" w:eastAsia="微软雅黑"/>
        </w:rPr>
        <w:t>底座由若干职责清晰的模块组成,各模块既独立工作,又通过统一的数据与消息接口协同。</w:t>
      </w:r>
    </w:p>
    <w:tbl>
      <w:tblPr>
        <w:tblStyle w:val="LightGrid-Accent1"/>
        <w:tblW w:type="auto" w:w="0"/>
        <w:jc w:val="center"/>
        <w:tblLook w:firstColumn="1" w:firstRow="1" w:lastColumn="0" w:lastRow="0" w:noHBand="0" w:noVBand="1" w:val="04A0"/>
      </w:tblPr>
      <w:tblGrid>
        <w:gridCol w:w="3097"/>
        <w:gridCol w:w="3097"/>
        <w:gridCol w:w="3097"/>
      </w:tblGrid>
      <w:tr>
        <w:tc>
          <w:tcPr>
            <w:tcW w:type="dxa" w:w="1814"/>
            <w:shd w:val="clear" w:color="auto" w:fill="164E8C"/>
          </w:tcPr>
          <w:p>
            <w:r/>
            <w:r>
              <w:rPr>
                <w:rFonts w:ascii="微软雅黑" w:hAnsi="微软雅黑" w:eastAsia="微软雅黑"/>
                <w:b/>
                <w:color w:val="FFFFFF"/>
                <w:sz w:val="20"/>
              </w:rPr>
              <w:t>模块</w:t>
            </w:r>
          </w:p>
        </w:tc>
        <w:tc>
          <w:tcPr>
            <w:tcW w:type="dxa" w:w="4535"/>
            <w:shd w:val="clear" w:color="auto" w:fill="164E8C"/>
          </w:tcPr>
          <w:p>
            <w:r/>
            <w:r>
              <w:rPr>
                <w:rFonts w:ascii="微软雅黑" w:hAnsi="微软雅黑" w:eastAsia="微软雅黑"/>
                <w:b/>
                <w:color w:val="FFFFFF"/>
                <w:sz w:val="20"/>
              </w:rPr>
              <w:t>主要职责</w:t>
            </w:r>
          </w:p>
        </w:tc>
        <w:tc>
          <w:tcPr>
            <w:tcW w:type="dxa" w:w="2438"/>
            <w:shd w:val="clear" w:color="auto" w:fill="164E8C"/>
          </w:tcPr>
          <w:p>
            <w:r/>
            <w:r>
              <w:rPr>
                <w:rFonts w:ascii="微软雅黑" w:hAnsi="微软雅黑" w:eastAsia="微软雅黑"/>
                <w:b/>
                <w:color w:val="FFFFFF"/>
                <w:sz w:val="20"/>
              </w:rPr>
              <w:t>对客户的价值</w:t>
            </w:r>
          </w:p>
        </w:tc>
      </w:tr>
      <w:tr>
        <w:tc>
          <w:tcPr>
            <w:tcW w:type="dxa" w:w="1814"/>
          </w:tcPr>
          <w:p>
            <w:r/>
            <w:r>
              <w:rPr>
                <w:rFonts w:ascii="微软雅黑" w:hAnsi="微软雅黑" w:eastAsia="微软雅黑"/>
                <w:sz w:val="19"/>
              </w:rPr>
              <w:t>采集端边缘网关</w:t>
            </w:r>
          </w:p>
        </w:tc>
        <w:tc>
          <w:tcPr>
            <w:tcW w:type="dxa" w:w="4535"/>
          </w:tcPr>
          <w:p>
            <w:r/>
            <w:r>
              <w:rPr>
                <w:rFonts w:ascii="微软雅黑" w:hAnsi="微软雅黑" w:eastAsia="微软雅黑"/>
                <w:sz w:val="19"/>
              </w:rPr>
              <w:t>现场串口、TCP、CAN、Modbus 等设备接入,完成协议初判、数据转发、解析与上送</w:t>
            </w:r>
          </w:p>
        </w:tc>
        <w:tc>
          <w:tcPr>
            <w:tcW w:type="dxa" w:w="2438"/>
          </w:tcPr>
          <w:p>
            <w:r/>
            <w:r>
              <w:rPr>
                <w:rFonts w:ascii="微软雅黑" w:hAnsi="微软雅黑" w:eastAsia="微软雅黑"/>
                <w:sz w:val="19"/>
              </w:rPr>
              <w:t>统一现场设备接入方式,降低多协议接入的复杂度</w:t>
            </w:r>
          </w:p>
        </w:tc>
      </w:tr>
      <w:tr>
        <w:tc>
          <w:tcPr>
            <w:tcW w:type="dxa" w:w="1814"/>
          </w:tcPr>
          <w:p>
            <w:r/>
            <w:r>
              <w:rPr>
                <w:rFonts w:ascii="微软雅黑" w:hAnsi="微软雅黑" w:eastAsia="微软雅黑"/>
                <w:sz w:val="19"/>
              </w:rPr>
              <w:t>服务端业务中台</w:t>
            </w:r>
          </w:p>
        </w:tc>
        <w:tc>
          <w:tcPr>
            <w:tcW w:type="dxa" w:w="4535"/>
          </w:tcPr>
          <w:p>
            <w:r/>
            <w:r>
              <w:rPr>
                <w:rFonts w:ascii="微软雅黑" w:hAnsi="微软雅黑" w:eastAsia="微软雅黑"/>
                <w:sz w:val="19"/>
              </w:rPr>
              <w:t>设备台账、端口绑定、实时监控、告警管理、健康评分、动态识别与 AI 诊断</w:t>
            </w:r>
          </w:p>
        </w:tc>
        <w:tc>
          <w:tcPr>
            <w:tcW w:type="dxa" w:w="2438"/>
          </w:tcPr>
          <w:p>
            <w:r/>
            <w:r>
              <w:rPr>
                <w:rFonts w:ascii="微软雅黑" w:hAnsi="微软雅黑" w:eastAsia="微软雅黑"/>
                <w:sz w:val="19"/>
              </w:rPr>
              <w:t>为前端大屏与第三方系统提供稳定、统一的数据服务</w:t>
            </w:r>
          </w:p>
        </w:tc>
      </w:tr>
      <w:tr>
        <w:tc>
          <w:tcPr>
            <w:tcW w:type="dxa" w:w="1814"/>
          </w:tcPr>
          <w:p>
            <w:r/>
            <w:r>
              <w:rPr>
                <w:rFonts w:ascii="微软雅黑" w:hAnsi="微软雅黑" w:eastAsia="微软雅黑"/>
                <w:sz w:val="19"/>
              </w:rPr>
              <w:t>MQTT 消息总线</w:t>
            </w:r>
          </w:p>
        </w:tc>
        <w:tc>
          <w:tcPr>
            <w:tcW w:type="dxa" w:w="4535"/>
          </w:tcPr>
          <w:p>
            <w:r/>
            <w:r>
              <w:rPr>
                <w:rFonts w:ascii="微软雅黑" w:hAnsi="微软雅黑" w:eastAsia="微软雅黑"/>
                <w:sz w:val="19"/>
              </w:rPr>
              <w:t>承载采集数据、状态、告警、错误与识别流程消息</w:t>
            </w:r>
          </w:p>
        </w:tc>
        <w:tc>
          <w:tcPr>
            <w:tcW w:type="dxa" w:w="2438"/>
          </w:tcPr>
          <w:p>
            <w:r/>
            <w:r>
              <w:rPr>
                <w:rFonts w:ascii="微软雅黑" w:hAnsi="微软雅黑" w:eastAsia="微软雅黑"/>
                <w:sz w:val="19"/>
              </w:rPr>
              <w:t>提高实时性,并支持多个业务模块订阅同一数据源</w:t>
            </w:r>
          </w:p>
        </w:tc>
      </w:tr>
      <w:tr>
        <w:tc>
          <w:tcPr>
            <w:tcW w:type="dxa" w:w="1814"/>
          </w:tcPr>
          <w:p>
            <w:r/>
            <w:r>
              <w:rPr>
                <w:rFonts w:ascii="微软雅黑" w:hAnsi="微软雅黑" w:eastAsia="微软雅黑"/>
                <w:sz w:val="19"/>
              </w:rPr>
              <w:t>关系库与时序库</w:t>
            </w:r>
          </w:p>
        </w:tc>
        <w:tc>
          <w:tcPr>
            <w:tcW w:type="dxa" w:w="4535"/>
          </w:tcPr>
          <w:p>
            <w:r/>
            <w:r>
              <w:rPr>
                <w:rFonts w:ascii="微软雅黑" w:hAnsi="微软雅黑" w:eastAsia="微软雅黑"/>
                <w:sz w:val="19"/>
              </w:rPr>
              <w:t>存储设备台账、采集记录、告警历史、健康评分与配置数据</w:t>
            </w:r>
          </w:p>
        </w:tc>
        <w:tc>
          <w:tcPr>
            <w:tcW w:type="dxa" w:w="2438"/>
          </w:tcPr>
          <w:p>
            <w:r/>
            <w:r>
              <w:rPr>
                <w:rFonts w:ascii="微软雅黑" w:hAnsi="微软雅黑" w:eastAsia="微软雅黑"/>
                <w:sz w:val="19"/>
              </w:rPr>
              <w:t>支持历史查询、趋势分析与问题追溯</w:t>
            </w:r>
          </w:p>
        </w:tc>
      </w:tr>
      <w:tr>
        <w:tc>
          <w:tcPr>
            <w:tcW w:type="dxa" w:w="1814"/>
          </w:tcPr>
          <w:p>
            <w:r/>
            <w:r>
              <w:rPr>
                <w:rFonts w:ascii="微软雅黑" w:hAnsi="微软雅黑" w:eastAsia="微软雅黑"/>
                <w:sz w:val="19"/>
              </w:rPr>
              <w:t>缓存组件</w:t>
            </w:r>
          </w:p>
        </w:tc>
        <w:tc>
          <w:tcPr>
            <w:tcW w:type="dxa" w:w="4535"/>
          </w:tcPr>
          <w:p>
            <w:r/>
            <w:r>
              <w:rPr>
                <w:rFonts w:ascii="微软雅黑" w:hAnsi="微软雅黑" w:eastAsia="微软雅黑"/>
                <w:sz w:val="19"/>
              </w:rPr>
              <w:t>用于动态端口映射、运行期缓存与识别档案缓存</w:t>
            </w:r>
          </w:p>
        </w:tc>
        <w:tc>
          <w:tcPr>
            <w:tcW w:type="dxa" w:w="2438"/>
          </w:tcPr>
          <w:p>
            <w:r/>
            <w:r>
              <w:rPr>
                <w:rFonts w:ascii="微软雅黑" w:hAnsi="微软雅黑" w:eastAsia="微软雅黑"/>
                <w:sz w:val="19"/>
              </w:rPr>
              <w:t>提升运行效率,并支持动态绑定状态恢复</w:t>
            </w:r>
          </w:p>
        </w:tc>
      </w:tr>
      <w:tr>
        <w:tc>
          <w:tcPr>
            <w:tcW w:type="dxa" w:w="1814"/>
          </w:tcPr>
          <w:p>
            <w:r/>
            <w:r>
              <w:rPr>
                <w:rFonts w:ascii="微软雅黑" w:hAnsi="微软雅黑" w:eastAsia="微软雅黑"/>
                <w:sz w:val="19"/>
              </w:rPr>
              <w:t>AI 识别与诊断</w:t>
            </w:r>
          </w:p>
        </w:tc>
        <w:tc>
          <w:tcPr>
            <w:tcW w:type="dxa" w:w="4535"/>
          </w:tcPr>
          <w:p>
            <w:r/>
            <w:r>
              <w:rPr>
                <w:rFonts w:ascii="微软雅黑" w:hAnsi="微软雅黑" w:eastAsia="微软雅黑"/>
                <w:sz w:val="19"/>
              </w:rPr>
              <w:t>采集侧借助本地模型辅助识别未知设备;服务侧通过外部 AI 工作流提供诊断与问答</w:t>
            </w:r>
          </w:p>
        </w:tc>
        <w:tc>
          <w:tcPr>
            <w:tcW w:type="dxa" w:w="2438"/>
          </w:tcPr>
          <w:p>
            <w:r/>
            <w:r>
              <w:rPr>
                <w:rFonts w:ascii="微软雅黑" w:hAnsi="微软雅黑" w:eastAsia="微软雅黑"/>
                <w:sz w:val="19"/>
              </w:rPr>
              <w:t>提升新增设备接入效率与运维辅助分析能力</w:t>
            </w:r>
          </w:p>
        </w:tc>
      </w:tr>
      <w:tr>
        <w:tc>
          <w:tcPr>
            <w:tcW w:type="dxa" w:w="1814"/>
          </w:tcPr>
          <w:p>
            <w:r/>
            <w:r>
              <w:rPr>
                <w:rFonts w:ascii="微软雅黑" w:hAnsi="微软雅黑" w:eastAsia="微软雅黑"/>
                <w:sz w:val="19"/>
              </w:rPr>
              <w:t>日志聚合与可视化</w:t>
            </w:r>
          </w:p>
        </w:tc>
        <w:tc>
          <w:tcPr>
            <w:tcW w:type="dxa" w:w="4535"/>
          </w:tcPr>
          <w:p>
            <w:r/>
            <w:r>
              <w:rPr>
                <w:rFonts w:ascii="微软雅黑" w:hAnsi="微软雅黑" w:eastAsia="微软雅黑"/>
                <w:sz w:val="19"/>
              </w:rPr>
              <w:t>负责日志聚合、查询与运维可视化</w:t>
            </w:r>
          </w:p>
        </w:tc>
        <w:tc>
          <w:tcPr>
            <w:tcW w:type="dxa" w:w="2438"/>
          </w:tcPr>
          <w:p>
            <w:r/>
            <w:r>
              <w:rPr>
                <w:rFonts w:ascii="微软雅黑" w:hAnsi="微软雅黑" w:eastAsia="微软雅黑"/>
                <w:sz w:val="19"/>
              </w:rPr>
              <w:t>便于运维、故障定位与客户验收</w:t>
            </w:r>
          </w:p>
        </w:tc>
      </w:tr>
    </w:tbl>
    <w:p>
      <w:pPr>
        <w:spacing w:after="40"/>
      </w:pPr>
    </w:p>
    <w:p>
      <w:pPr>
        <w:spacing w:before="200" w:after="60"/>
      </w:pPr>
      <w:r>
        <w:rPr>
          <w:rFonts w:ascii="微软雅黑" w:hAnsi="微软雅黑" w:eastAsia="微软雅黑"/>
          <w:b/>
          <w:color w:val="0B7A6E"/>
          <w:sz w:val="24"/>
        </w:rPr>
        <w:t>2.3  采集端:统一设备接入</w:t>
      </w:r>
    </w:p>
    <w:p>
      <w:pPr>
        <w:jc w:val="both"/>
      </w:pPr>
      <w:r>
        <w:rPr>
          <w:rFonts w:ascii="微软雅黑" w:hAnsi="微软雅黑" w:eastAsia="微软雅黑"/>
        </w:rPr>
        <w:t>采集端面向船舶现场设备的接入场景,核心职责是把不同协议、不同物理接口的设备数据统一接入、解析、转发与落库。它并非一个单一的采集程序,而是由协议路由、采集解析、设备智能识别、消息分发以及数据库与缓存等组件构成的边缘采集子系统。其中协议解析采用成熟的 Telegraf 引擎,通过为每类设备预置解析配置,把"逐台编写解析代码"降级为"配置解析模板",这正是设备能够低成本快速接入的工程支撑。采集端支持的协议与设备类型如下。</w:t>
      </w:r>
    </w:p>
    <w:tbl>
      <w:tblPr>
        <w:tblStyle w:val="LightGrid-Accent1"/>
        <w:tblW w:type="auto" w:w="0"/>
        <w:jc w:val="center"/>
        <w:tblLook w:firstColumn="1" w:firstRow="1" w:lastColumn="0" w:lastRow="0" w:noHBand="0" w:noVBand="1" w:val="04A0"/>
      </w:tblPr>
      <w:tblGrid>
        <w:gridCol w:w="3097"/>
        <w:gridCol w:w="3097"/>
        <w:gridCol w:w="3097"/>
      </w:tblGrid>
      <w:tr>
        <w:tc>
          <w:tcPr>
            <w:tcW w:type="dxa" w:w="1587"/>
            <w:shd w:val="clear" w:color="auto" w:fill="164E8C"/>
          </w:tcPr>
          <w:p>
            <w:r/>
            <w:r>
              <w:rPr>
                <w:rFonts w:ascii="微软雅黑" w:hAnsi="微软雅黑" w:eastAsia="微软雅黑"/>
                <w:b/>
                <w:color w:val="FFFFFF"/>
                <w:sz w:val="20"/>
              </w:rPr>
              <w:t>协议类型</w:t>
            </w:r>
          </w:p>
        </w:tc>
        <w:tc>
          <w:tcPr>
            <w:tcW w:type="dxa" w:w="4252"/>
            <w:shd w:val="clear" w:color="auto" w:fill="164E8C"/>
          </w:tcPr>
          <w:p>
            <w:r/>
            <w:r>
              <w:rPr>
                <w:rFonts w:ascii="微软雅黑" w:hAnsi="微软雅黑" w:eastAsia="微软雅黑"/>
                <w:b/>
                <w:color w:val="FFFFFF"/>
                <w:sz w:val="20"/>
              </w:rPr>
              <w:t>支持范围</w:t>
            </w:r>
          </w:p>
        </w:tc>
        <w:tc>
          <w:tcPr>
            <w:tcW w:type="dxa" w:w="2948"/>
            <w:shd w:val="clear" w:color="auto" w:fill="164E8C"/>
          </w:tcPr>
          <w:p>
            <w:r/>
            <w:r>
              <w:rPr>
                <w:rFonts w:ascii="微软雅黑" w:hAnsi="微软雅黑" w:eastAsia="微软雅黑"/>
                <w:b/>
                <w:color w:val="FFFFFF"/>
                <w:sz w:val="20"/>
              </w:rPr>
              <w:t>说明</w:t>
            </w:r>
          </w:p>
        </w:tc>
      </w:tr>
      <w:tr>
        <w:tc>
          <w:tcPr>
            <w:tcW w:type="dxa" w:w="1587"/>
          </w:tcPr>
          <w:p>
            <w:r/>
            <w:r>
              <w:rPr>
                <w:rFonts w:ascii="微软雅黑" w:hAnsi="微软雅黑" w:eastAsia="微软雅黑"/>
                <w:sz w:val="19"/>
              </w:rPr>
              <w:t>NMEA 0183</w:t>
            </w:r>
          </w:p>
        </w:tc>
        <w:tc>
          <w:tcPr>
            <w:tcW w:type="dxa" w:w="4252"/>
          </w:tcPr>
          <w:p>
            <w:r/>
            <w:r>
              <w:rPr>
                <w:rFonts w:ascii="微软雅黑" w:hAnsi="微软雅黑" w:eastAsia="微软雅黑"/>
                <w:sz w:val="19"/>
              </w:rPr>
              <w:t>AIS、测深仪、倾角仪、雾号、自动舵、气象、北斗、磁罗经、卫星罗经、火警、总报警等</w:t>
            </w:r>
          </w:p>
        </w:tc>
        <w:tc>
          <w:tcPr>
            <w:tcW w:type="dxa" w:w="2948"/>
          </w:tcPr>
          <w:p>
            <w:r/>
            <w:r>
              <w:rPr>
                <w:rFonts w:ascii="微软雅黑" w:hAnsi="微软雅黑" w:eastAsia="微软雅黑"/>
                <w:sz w:val="19"/>
              </w:rPr>
              <w:t>通过文本帧特征识别与解析,适合常见船载导航与传感设备</w:t>
            </w:r>
          </w:p>
        </w:tc>
      </w:tr>
      <w:tr>
        <w:tc>
          <w:tcPr>
            <w:tcW w:type="dxa" w:w="1587"/>
          </w:tcPr>
          <w:p>
            <w:r/>
            <w:r>
              <w:rPr>
                <w:rFonts w:ascii="微软雅黑" w:hAnsi="微软雅黑" w:eastAsia="微软雅黑"/>
                <w:sz w:val="19"/>
              </w:rPr>
              <w:t>CAN</w:t>
            </w:r>
          </w:p>
        </w:tc>
        <w:tc>
          <w:tcPr>
            <w:tcW w:type="dxa" w:w="4252"/>
          </w:tcPr>
          <w:p>
            <w:r/>
            <w:r>
              <w:rPr>
                <w:rFonts w:ascii="微软雅黑" w:hAnsi="微软雅黑" w:eastAsia="微软雅黑"/>
                <w:sz w:val="19"/>
              </w:rPr>
              <w:t>毫米波雷达 RADAR1 至 RADAR4 等 CAN 类设备</w:t>
            </w:r>
          </w:p>
        </w:tc>
        <w:tc>
          <w:tcPr>
            <w:tcW w:type="dxa" w:w="2948"/>
          </w:tcPr>
          <w:p>
            <w:r/>
            <w:r>
              <w:rPr>
                <w:rFonts w:ascii="微软雅黑" w:hAnsi="微软雅黑" w:eastAsia="微软雅黑"/>
                <w:sz w:val="19"/>
              </w:rPr>
              <w:t>通过 SLCAN 文本帧格式识别,统一进入采集链路</w:t>
            </w:r>
          </w:p>
        </w:tc>
      </w:tr>
      <w:tr>
        <w:tc>
          <w:tcPr>
            <w:tcW w:type="dxa" w:w="1587"/>
          </w:tcPr>
          <w:p>
            <w:r/>
            <w:r>
              <w:rPr>
                <w:rFonts w:ascii="微软雅黑" w:hAnsi="微软雅黑" w:eastAsia="微软雅黑"/>
                <w:sz w:val="19"/>
              </w:rPr>
              <w:t>Modbus TCP / RTU</w:t>
            </w:r>
          </w:p>
        </w:tc>
        <w:tc>
          <w:tcPr>
            <w:tcW w:type="dxa" w:w="4252"/>
          </w:tcPr>
          <w:p>
            <w:r/>
            <w:r>
              <w:rPr>
                <w:rFonts w:ascii="微软雅黑" w:hAnsi="微软雅黑" w:eastAsia="微软雅黑"/>
                <w:sz w:val="19"/>
              </w:rPr>
              <w:t>主推进、侧推配电、直流母线、电池箱、航行灯、姿态传感器、能见度、液位等</w:t>
            </w:r>
          </w:p>
        </w:tc>
        <w:tc>
          <w:tcPr>
            <w:tcW w:type="dxa" w:w="2948"/>
          </w:tcPr>
          <w:p>
            <w:r/>
            <w:r>
              <w:rPr>
                <w:rFonts w:ascii="微软雅黑" w:hAnsi="微软雅黑" w:eastAsia="微软雅黑"/>
                <w:sz w:val="19"/>
              </w:rPr>
              <w:t>通过功能码、寄存器与探测报文接入,复杂业务字段需结合厂家寄存器表</w:t>
            </w:r>
          </w:p>
        </w:tc>
      </w:tr>
    </w:tbl>
    <w:p>
      <w:pPr>
        <w:spacing w:after="40"/>
      </w:pPr>
    </w:p>
    <w:p>
      <w:pPr>
        <w:jc w:val="both"/>
      </w:pPr>
      <w:r>
        <w:rPr>
          <w:rFonts w:ascii="微软雅黑" w:hAnsi="微软雅黑" w:eastAsia="微软雅黑"/>
        </w:rPr>
        <w:t>对于项目内已预置模板的设备,采集端可在不依赖 AI 的情况下完成自动绑定:设备接入后,协议路由模块根据报文特征命中对应协议与设备模板,把数据转发到固定的采集监听端口,再由预置解析器完成结构化处理。对于新增或临时接入的未知设备,采集端则会自动采样原始报文、发布识别请求,调用本地模型辅助判断协议、设备类型与字段结构,并生成或复用解析配置,作为新增设备接入初期的辅助分析手段。采集端对外的输出能力包括:向消息总线输出标准化设备数据;输出采集异常或解析异常消息;维护设备在线状态与动态端口绑定状态;将动态设备台账与解析记录写入数据库;并将日志汇聚至运维组件以供查询与展示。</w:t>
      </w:r>
    </w:p>
    <w:p>
      <w:pPr>
        <w:spacing w:before="200" w:after="60"/>
      </w:pPr>
      <w:r>
        <w:rPr>
          <w:rFonts w:ascii="微软雅黑" w:hAnsi="微软雅黑" w:eastAsia="微软雅黑"/>
          <w:b/>
          <w:color w:val="0B7A6E"/>
          <w:sz w:val="24"/>
        </w:rPr>
        <w:t>2.4  服务端:业务中台</w:t>
      </w:r>
    </w:p>
    <w:p>
      <w:pPr>
        <w:jc w:val="both"/>
      </w:pPr>
      <w:r>
        <w:rPr>
          <w:rFonts w:ascii="微软雅黑" w:hAnsi="微软雅黑" w:eastAsia="微软雅黑"/>
        </w:rPr>
        <w:t>服务端是整个底座的业务中台,负责承接采集端上送的数据,统一管理设备、端口、配置模板、告警、健康评分与动态识别结果,并向前端或第三方系统提供标准接口、实时推送与 AI 诊断能力。其核心业务能力如下。</w:t>
      </w:r>
    </w:p>
    <w:tbl>
      <w:tblPr>
        <w:tblStyle w:val="LightGrid-Accent1"/>
        <w:tblW w:type="auto" w:w="0"/>
        <w:jc w:val="center"/>
        <w:tblLook w:firstColumn="1" w:firstRow="1" w:lastColumn="0" w:lastRow="0" w:noHBand="0" w:noVBand="1" w:val="04A0"/>
      </w:tblPr>
      <w:tblGrid>
        <w:gridCol w:w="3097"/>
        <w:gridCol w:w="3097"/>
        <w:gridCol w:w="3097"/>
      </w:tblGrid>
      <w:tr>
        <w:tc>
          <w:tcPr>
            <w:tcW w:type="dxa" w:w="1814"/>
            <w:shd w:val="clear" w:color="auto" w:fill="164E8C"/>
          </w:tcPr>
          <w:p>
            <w:r/>
            <w:r>
              <w:rPr>
                <w:rFonts w:ascii="微软雅黑" w:hAnsi="微软雅黑" w:eastAsia="微软雅黑"/>
                <w:b/>
                <w:color w:val="FFFFFF"/>
                <w:sz w:val="20"/>
              </w:rPr>
              <w:t>能力模块</w:t>
            </w:r>
          </w:p>
        </w:tc>
        <w:tc>
          <w:tcPr>
            <w:tcW w:type="dxa" w:w="4535"/>
            <w:shd w:val="clear" w:color="auto" w:fill="164E8C"/>
          </w:tcPr>
          <w:p>
            <w:r/>
            <w:r>
              <w:rPr>
                <w:rFonts w:ascii="微软雅黑" w:hAnsi="微软雅黑" w:eastAsia="微软雅黑"/>
                <w:b/>
                <w:color w:val="FFFFFF"/>
                <w:sz w:val="20"/>
              </w:rPr>
              <w:t>主要功能</w:t>
            </w:r>
          </w:p>
        </w:tc>
        <w:tc>
          <w:tcPr>
            <w:tcW w:type="dxa" w:w="2438"/>
            <w:shd w:val="clear" w:color="auto" w:fill="164E8C"/>
          </w:tcPr>
          <w:p>
            <w:r/>
            <w:r>
              <w:rPr>
                <w:rFonts w:ascii="微软雅黑" w:hAnsi="微软雅黑" w:eastAsia="微软雅黑"/>
                <w:b/>
                <w:color w:val="FFFFFF"/>
                <w:sz w:val="20"/>
              </w:rPr>
              <w:t>对客户的作用</w:t>
            </w:r>
          </w:p>
        </w:tc>
      </w:tr>
      <w:tr>
        <w:tc>
          <w:tcPr>
            <w:tcW w:type="dxa" w:w="1814"/>
          </w:tcPr>
          <w:p>
            <w:r/>
            <w:r>
              <w:rPr>
                <w:rFonts w:ascii="微软雅黑" w:hAnsi="微软雅黑" w:eastAsia="微软雅黑"/>
                <w:sz w:val="19"/>
              </w:rPr>
              <w:t>统一设备业务接口</w:t>
            </w:r>
          </w:p>
        </w:tc>
        <w:tc>
          <w:tcPr>
            <w:tcW w:type="dxa" w:w="4535"/>
          </w:tcPr>
          <w:p>
            <w:r/>
            <w:r>
              <w:rPr>
                <w:rFonts w:ascii="微软雅黑" w:hAnsi="微软雅黑" w:eastAsia="微软雅黑"/>
                <w:sz w:val="19"/>
              </w:rPr>
              <w:t>按设备 ID 输出设备概览与业务对象,屏蔽底层协议差异</w:t>
            </w:r>
          </w:p>
        </w:tc>
        <w:tc>
          <w:tcPr>
            <w:tcW w:type="dxa" w:w="2438"/>
          </w:tcPr>
          <w:p>
            <w:r/>
            <w:r>
              <w:rPr>
                <w:rFonts w:ascii="微软雅黑" w:hAnsi="微软雅黑" w:eastAsia="微软雅黑"/>
                <w:sz w:val="19"/>
              </w:rPr>
              <w:t>前端与第三方系统无须理解底层采集协议</w:t>
            </w:r>
          </w:p>
        </w:tc>
      </w:tr>
      <w:tr>
        <w:tc>
          <w:tcPr>
            <w:tcW w:type="dxa" w:w="1814"/>
          </w:tcPr>
          <w:p>
            <w:r/>
            <w:r>
              <w:rPr>
                <w:rFonts w:ascii="微软雅黑" w:hAnsi="微软雅黑" w:eastAsia="微软雅黑"/>
                <w:sz w:val="19"/>
              </w:rPr>
              <w:t>实时监控中心</w:t>
            </w:r>
          </w:p>
        </w:tc>
        <w:tc>
          <w:tcPr>
            <w:tcW w:type="dxa" w:w="4535"/>
          </w:tcPr>
          <w:p>
            <w:r/>
            <w:r>
              <w:rPr>
                <w:rFonts w:ascii="微软雅黑" w:hAnsi="微软雅黑" w:eastAsia="微软雅黑"/>
                <w:sz w:val="19"/>
              </w:rPr>
              <w:t>输出设备在线、离线、异常、劣化状态及实时设备列表</w:t>
            </w:r>
          </w:p>
        </w:tc>
        <w:tc>
          <w:tcPr>
            <w:tcW w:type="dxa" w:w="2438"/>
          </w:tcPr>
          <w:p>
            <w:r/>
            <w:r>
              <w:rPr>
                <w:rFonts w:ascii="微软雅黑" w:hAnsi="微软雅黑" w:eastAsia="微软雅黑"/>
                <w:sz w:val="19"/>
              </w:rPr>
              <w:t>支撑驾驶台、机舱、大屏与运维页面展示</w:t>
            </w:r>
          </w:p>
        </w:tc>
      </w:tr>
      <w:tr>
        <w:tc>
          <w:tcPr>
            <w:tcW w:type="dxa" w:w="1814"/>
          </w:tcPr>
          <w:p>
            <w:r/>
            <w:r>
              <w:rPr>
                <w:rFonts w:ascii="微软雅黑" w:hAnsi="微软雅黑" w:eastAsia="微软雅黑"/>
                <w:sz w:val="19"/>
              </w:rPr>
              <w:t>告警管理</w:t>
            </w:r>
          </w:p>
        </w:tc>
        <w:tc>
          <w:tcPr>
            <w:tcW w:type="dxa" w:w="4535"/>
          </w:tcPr>
          <w:p>
            <w:r/>
            <w:r>
              <w:rPr>
                <w:rFonts w:ascii="微软雅黑" w:hAnsi="微软雅黑" w:eastAsia="微软雅黑"/>
                <w:sz w:val="19"/>
              </w:rPr>
              <w:t>支持实时告警、未确认告警查询与告警确认闭环</w:t>
            </w:r>
          </w:p>
        </w:tc>
        <w:tc>
          <w:tcPr>
            <w:tcW w:type="dxa" w:w="2438"/>
          </w:tcPr>
          <w:p>
            <w:r/>
            <w:r>
              <w:rPr>
                <w:rFonts w:ascii="微软雅黑" w:hAnsi="微软雅黑" w:eastAsia="微软雅黑"/>
                <w:sz w:val="19"/>
              </w:rPr>
              <w:t>形成设备异常发现、确认与追溯的闭环</w:t>
            </w:r>
          </w:p>
        </w:tc>
      </w:tr>
      <w:tr>
        <w:tc>
          <w:tcPr>
            <w:tcW w:type="dxa" w:w="1814"/>
          </w:tcPr>
          <w:p>
            <w:r/>
            <w:r>
              <w:rPr>
                <w:rFonts w:ascii="微软雅黑" w:hAnsi="微软雅黑" w:eastAsia="微软雅黑"/>
                <w:sz w:val="19"/>
              </w:rPr>
              <w:t>端口管理与设备绑定</w:t>
            </w:r>
          </w:p>
        </w:tc>
        <w:tc>
          <w:tcPr>
            <w:tcW w:type="dxa" w:w="4535"/>
          </w:tcPr>
          <w:p>
            <w:r/>
            <w:r>
              <w:rPr>
                <w:rFonts w:ascii="微软雅黑" w:hAnsi="微软雅黑" w:eastAsia="微软雅黑"/>
                <w:sz w:val="19"/>
              </w:rPr>
              <w:t>管理 COM、CAN、LAN 等端口状态、绑定关系、协议配置与显示名称</w:t>
            </w:r>
          </w:p>
        </w:tc>
        <w:tc>
          <w:tcPr>
            <w:tcW w:type="dxa" w:w="2438"/>
          </w:tcPr>
          <w:p>
            <w:r/>
            <w:r>
              <w:rPr>
                <w:rFonts w:ascii="微软雅黑" w:hAnsi="微软雅黑" w:eastAsia="微软雅黑"/>
                <w:sz w:val="19"/>
              </w:rPr>
              <w:t>使服务端同时具备数据查看与现场运维配置能力</w:t>
            </w:r>
          </w:p>
        </w:tc>
      </w:tr>
      <w:tr>
        <w:tc>
          <w:tcPr>
            <w:tcW w:type="dxa" w:w="1814"/>
          </w:tcPr>
          <w:p>
            <w:r/>
            <w:r>
              <w:rPr>
                <w:rFonts w:ascii="微软雅黑" w:hAnsi="微软雅黑" w:eastAsia="微软雅黑"/>
                <w:sz w:val="19"/>
              </w:rPr>
              <w:t>动态设备管理</w:t>
            </w:r>
          </w:p>
        </w:tc>
        <w:tc>
          <w:tcPr>
            <w:tcW w:type="dxa" w:w="4535"/>
          </w:tcPr>
          <w:p>
            <w:r/>
            <w:r>
              <w:rPr>
                <w:rFonts w:ascii="微软雅黑" w:hAnsi="微软雅黑" w:eastAsia="微软雅黑"/>
                <w:sz w:val="19"/>
              </w:rPr>
              <w:t>支持待确认识别结果、动态设备元信息、最新值与历史记录查询</w:t>
            </w:r>
          </w:p>
        </w:tc>
        <w:tc>
          <w:tcPr>
            <w:tcW w:type="dxa" w:w="2438"/>
          </w:tcPr>
          <w:p>
            <w:r/>
            <w:r>
              <w:rPr>
                <w:rFonts w:ascii="微软雅黑" w:hAnsi="微软雅黑" w:eastAsia="微软雅黑"/>
                <w:sz w:val="19"/>
              </w:rPr>
              <w:t>支撑新增设备的即插即用流程</w:t>
            </w:r>
          </w:p>
        </w:tc>
      </w:tr>
      <w:tr>
        <w:tc>
          <w:tcPr>
            <w:tcW w:type="dxa" w:w="1814"/>
          </w:tcPr>
          <w:p>
            <w:r/>
            <w:r>
              <w:rPr>
                <w:rFonts w:ascii="微软雅黑" w:hAnsi="微软雅黑" w:eastAsia="微软雅黑"/>
                <w:sz w:val="19"/>
              </w:rPr>
              <w:t>健康评分与趋势</w:t>
            </w:r>
          </w:p>
        </w:tc>
        <w:tc>
          <w:tcPr>
            <w:tcW w:type="dxa" w:w="4535"/>
          </w:tcPr>
          <w:p>
            <w:r/>
            <w:r>
              <w:rPr>
                <w:rFonts w:ascii="微软雅黑" w:hAnsi="微软雅黑" w:eastAsia="微软雅黑"/>
                <w:sz w:val="19"/>
              </w:rPr>
              <w:t>支持规则配置、后台评分调度、实时推送与趋势查询</w:t>
            </w:r>
          </w:p>
        </w:tc>
        <w:tc>
          <w:tcPr>
            <w:tcW w:type="dxa" w:w="2438"/>
          </w:tcPr>
          <w:p>
            <w:r/>
            <w:r>
              <w:rPr>
                <w:rFonts w:ascii="微软雅黑" w:hAnsi="微软雅黑" w:eastAsia="微软雅黑"/>
                <w:sz w:val="19"/>
              </w:rPr>
              <w:t>为设备状态管理与预测性维护提供基础</w:t>
            </w:r>
          </w:p>
        </w:tc>
      </w:tr>
      <w:tr>
        <w:tc>
          <w:tcPr>
            <w:tcW w:type="dxa" w:w="1814"/>
          </w:tcPr>
          <w:p>
            <w:r/>
            <w:r>
              <w:rPr>
                <w:rFonts w:ascii="微软雅黑" w:hAnsi="微软雅黑" w:eastAsia="微软雅黑"/>
                <w:sz w:val="19"/>
              </w:rPr>
              <w:t>AI 诊断与智能对话</w:t>
            </w:r>
          </w:p>
        </w:tc>
        <w:tc>
          <w:tcPr>
            <w:tcW w:type="dxa" w:w="4535"/>
          </w:tcPr>
          <w:p>
            <w:r/>
            <w:r>
              <w:rPr>
                <w:rFonts w:ascii="微软雅黑" w:hAnsi="微软雅黑" w:eastAsia="微软雅黑"/>
                <w:sz w:val="19"/>
              </w:rPr>
              <w:t>对接外部 AI 工作流,提供设备诊断、流式输出与问答</w:t>
            </w:r>
          </w:p>
        </w:tc>
        <w:tc>
          <w:tcPr>
            <w:tcW w:type="dxa" w:w="2438"/>
          </w:tcPr>
          <w:p>
            <w:r/>
            <w:r>
              <w:rPr>
                <w:rFonts w:ascii="微软雅黑" w:hAnsi="微软雅黑" w:eastAsia="微软雅黑"/>
                <w:sz w:val="19"/>
              </w:rPr>
              <w:t>为运维人员提供辅助诊断入口</w:t>
            </w:r>
          </w:p>
        </w:tc>
      </w:tr>
    </w:tbl>
    <w:p>
      <w:pPr>
        <w:spacing w:after="40"/>
      </w:pPr>
    </w:p>
    <w:p>
      <w:pPr>
        <w:jc w:val="both"/>
      </w:pPr>
      <w:r>
        <w:rPr>
          <w:rFonts w:ascii="微软雅黑" w:hAnsi="微软雅黑" w:eastAsia="微软雅黑"/>
        </w:rPr>
        <w:t>在接口形式上,服务端通过 REST 接口提供设备查询、告警确认、端口配置、动态设备管理、健康评分规则管理与诊断记录落库;通过 WebSocket 推送设备识别事件、健康评分等实时信息;通过 SSE 流式代理实现 AI 诊断与智能问答的逐段输出,降低前端等待感;并提供在线接口文档,便于客户联调、测试与验收。</w:t>
      </w:r>
    </w:p>
    <w:p>
      <w:pPr>
        <w:spacing w:before="200" w:after="60"/>
      </w:pPr>
      <w:r>
        <w:rPr>
          <w:rFonts w:ascii="微软雅黑" w:hAnsi="微软雅黑" w:eastAsia="微软雅黑"/>
          <w:b/>
          <w:color w:val="0B7A6E"/>
          <w:sz w:val="24"/>
        </w:rPr>
        <w:t>2.5  数据接口与集成</w:t>
      </w:r>
    </w:p>
    <w:p>
      <w:pPr>
        <w:jc w:val="both"/>
      </w:pPr>
      <w:r>
        <w:rPr>
          <w:rFonts w:ascii="微软雅黑" w:hAnsi="微软雅黑" w:eastAsia="微软雅黑"/>
        </w:rPr>
        <w:t>系统的对外集成围绕三类稳定的契约展开,后续扩展只发生在契约内部。第一类是 MQTT 消息主题,贯穿采集与分发链路;第二类是核心数据模型,承载设备、告警、识别与评分等业务对象;第三类是对外接口形态,面向前端与第三方集成。关键的消息主题与核心数据表如下。</w:t>
      </w:r>
    </w:p>
    <w:tbl>
      <w:tblPr>
        <w:tblStyle w:val="LightGrid-Accent1"/>
        <w:tblW w:type="auto" w:w="0"/>
        <w:jc w:val="center"/>
        <w:tblLook w:firstColumn="1" w:firstRow="1" w:lastColumn="0" w:lastRow="0" w:noHBand="0" w:noVBand="1" w:val="04A0"/>
      </w:tblPr>
      <w:tblGrid>
        <w:gridCol w:w="4646"/>
        <w:gridCol w:w="4646"/>
      </w:tblGrid>
      <w:tr>
        <w:tc>
          <w:tcPr>
            <w:tcW w:type="dxa" w:w="3118"/>
            <w:shd w:val="clear" w:color="auto" w:fill="164E8C"/>
          </w:tcPr>
          <w:p>
            <w:r/>
            <w:r>
              <w:rPr>
                <w:rFonts w:ascii="微软雅黑" w:hAnsi="微软雅黑" w:eastAsia="微软雅黑"/>
                <w:b/>
                <w:color w:val="FFFFFF"/>
                <w:sz w:val="20"/>
              </w:rPr>
              <w:t>消息主题</w:t>
            </w:r>
          </w:p>
        </w:tc>
        <w:tc>
          <w:tcPr>
            <w:tcW w:type="dxa" w:w="5669"/>
            <w:shd w:val="clear" w:color="auto" w:fill="164E8C"/>
          </w:tcPr>
          <w:p>
            <w:r/>
            <w:r>
              <w:rPr>
                <w:rFonts w:ascii="微软雅黑" w:hAnsi="微软雅黑" w:eastAsia="微软雅黑"/>
                <w:b/>
                <w:color w:val="FFFFFF"/>
                <w:sz w:val="20"/>
              </w:rPr>
              <w:t>说明</w:t>
            </w:r>
          </w:p>
        </w:tc>
      </w:tr>
      <w:tr>
        <w:tc>
          <w:tcPr>
            <w:tcW w:type="dxa" w:w="3118"/>
          </w:tcPr>
          <w:p>
            <w:r/>
            <w:r>
              <w:rPr>
                <w:rFonts w:ascii="微软雅黑" w:hAnsi="微软雅黑" w:eastAsia="微软雅黑"/>
                <w:sz w:val="19"/>
              </w:rPr>
              <w:t>/data/device</w:t>
            </w:r>
          </w:p>
        </w:tc>
        <w:tc>
          <w:tcPr>
            <w:tcW w:type="dxa" w:w="5669"/>
          </w:tcPr>
          <w:p>
            <w:r/>
            <w:r>
              <w:rPr>
                <w:rFonts w:ascii="微软雅黑" w:hAnsi="微软雅黑" w:eastAsia="微软雅黑"/>
                <w:sz w:val="19"/>
              </w:rPr>
              <w:t>采集端输出的标准设备采集数据</w:t>
            </w:r>
          </w:p>
        </w:tc>
      </w:tr>
      <w:tr>
        <w:tc>
          <w:tcPr>
            <w:tcW w:type="dxa" w:w="3118"/>
          </w:tcPr>
          <w:p>
            <w:r/>
            <w:r>
              <w:rPr>
                <w:rFonts w:ascii="微软雅黑" w:hAnsi="微软雅黑" w:eastAsia="微软雅黑"/>
                <w:sz w:val="19"/>
              </w:rPr>
              <w:t>/iot/error(或 /internal/error)</w:t>
            </w:r>
          </w:p>
        </w:tc>
        <w:tc>
          <w:tcPr>
            <w:tcW w:type="dxa" w:w="5669"/>
          </w:tcPr>
          <w:p>
            <w:r/>
            <w:r>
              <w:rPr>
                <w:rFonts w:ascii="微软雅黑" w:hAnsi="微软雅黑" w:eastAsia="微软雅黑"/>
                <w:sz w:val="19"/>
              </w:rPr>
              <w:t>采集异常、解析异常或运行错误消息</w:t>
            </w:r>
          </w:p>
        </w:tc>
      </w:tr>
      <w:tr>
        <w:tc>
          <w:tcPr>
            <w:tcW w:type="dxa" w:w="3118"/>
          </w:tcPr>
          <w:p>
            <w:r/>
            <w:r>
              <w:rPr>
                <w:rFonts w:ascii="微软雅黑" w:hAnsi="微软雅黑" w:eastAsia="微软雅黑"/>
                <w:sz w:val="19"/>
              </w:rPr>
              <w:t>/iot/status</w:t>
            </w:r>
          </w:p>
        </w:tc>
        <w:tc>
          <w:tcPr>
            <w:tcW w:type="dxa" w:w="5669"/>
          </w:tcPr>
          <w:p>
            <w:r/>
            <w:r>
              <w:rPr>
                <w:rFonts w:ascii="微软雅黑" w:hAnsi="微软雅黑" w:eastAsia="微软雅黑"/>
                <w:sz w:val="19"/>
              </w:rPr>
              <w:t>设备在线状态消息</w:t>
            </w:r>
          </w:p>
        </w:tc>
      </w:tr>
      <w:tr>
        <w:tc>
          <w:tcPr>
            <w:tcW w:type="dxa" w:w="3118"/>
          </w:tcPr>
          <w:p>
            <w:r/>
            <w:r>
              <w:rPr>
                <w:rFonts w:ascii="微软雅黑" w:hAnsi="微软雅黑" w:eastAsia="微软雅黑"/>
                <w:sz w:val="19"/>
              </w:rPr>
              <w:t>/iot/router/bind</w:t>
            </w:r>
          </w:p>
        </w:tc>
        <w:tc>
          <w:tcPr>
            <w:tcW w:type="dxa" w:w="5669"/>
          </w:tcPr>
          <w:p>
            <w:r/>
            <w:r>
              <w:rPr>
                <w:rFonts w:ascii="微软雅黑" w:hAnsi="微软雅黑" w:eastAsia="微软雅黑"/>
                <w:sz w:val="19"/>
              </w:rPr>
              <w:t>动态设备绑定通知</w:t>
            </w:r>
          </w:p>
        </w:tc>
      </w:tr>
      <w:tr>
        <w:tc>
          <w:tcPr>
            <w:tcW w:type="dxa" w:w="3118"/>
          </w:tcPr>
          <w:p>
            <w:r/>
            <w:r>
              <w:rPr>
                <w:rFonts w:ascii="微软雅黑" w:hAnsi="微软雅黑" w:eastAsia="微软雅黑"/>
                <w:sz w:val="19"/>
              </w:rPr>
              <w:t>/iot/identify/request</w:t>
            </w:r>
          </w:p>
        </w:tc>
        <w:tc>
          <w:tcPr>
            <w:tcW w:type="dxa" w:w="5669"/>
          </w:tcPr>
          <w:p>
            <w:r/>
            <w:r>
              <w:rPr>
                <w:rFonts w:ascii="微软雅黑" w:hAnsi="微软雅黑" w:eastAsia="微软雅黑"/>
                <w:sz w:val="19"/>
              </w:rPr>
              <w:t>未知设备识别请求</w:t>
            </w:r>
          </w:p>
        </w:tc>
      </w:tr>
      <w:tr>
        <w:tc>
          <w:tcPr>
            <w:tcW w:type="dxa" w:w="3118"/>
          </w:tcPr>
          <w:p>
            <w:r/>
            <w:r>
              <w:rPr>
                <w:rFonts w:ascii="微软雅黑" w:hAnsi="微软雅黑" w:eastAsia="微软雅黑"/>
                <w:sz w:val="19"/>
              </w:rPr>
              <w:t>/iot/identify/pending</w:t>
            </w:r>
          </w:p>
        </w:tc>
        <w:tc>
          <w:tcPr>
            <w:tcW w:type="dxa" w:w="5669"/>
          </w:tcPr>
          <w:p>
            <w:r/>
            <w:r>
              <w:rPr>
                <w:rFonts w:ascii="微软雅黑" w:hAnsi="微软雅黑" w:eastAsia="微软雅黑"/>
                <w:sz w:val="19"/>
              </w:rPr>
              <w:t>动态识别待确认结果</w:t>
            </w:r>
          </w:p>
        </w:tc>
      </w:tr>
      <w:tr>
        <w:tc>
          <w:tcPr>
            <w:tcW w:type="dxa" w:w="3118"/>
          </w:tcPr>
          <w:p>
            <w:r/>
            <w:r>
              <w:rPr>
                <w:rFonts w:ascii="微软雅黑" w:hAnsi="微软雅黑" w:eastAsia="微软雅黑"/>
                <w:sz w:val="19"/>
              </w:rPr>
              <w:t>/iot/identify/progress</w:t>
            </w:r>
          </w:p>
        </w:tc>
        <w:tc>
          <w:tcPr>
            <w:tcW w:type="dxa" w:w="5669"/>
          </w:tcPr>
          <w:p>
            <w:r/>
            <w:r>
              <w:rPr>
                <w:rFonts w:ascii="微软雅黑" w:hAnsi="微软雅黑" w:eastAsia="微软雅黑"/>
                <w:sz w:val="19"/>
              </w:rPr>
              <w:t>动态识别进度</w:t>
            </w:r>
          </w:p>
        </w:tc>
      </w:tr>
      <w:tr>
        <w:tc>
          <w:tcPr>
            <w:tcW w:type="dxa" w:w="3118"/>
          </w:tcPr>
          <w:p>
            <w:r/>
            <w:r>
              <w:rPr>
                <w:rFonts w:ascii="微软雅黑" w:hAnsi="微软雅黑" w:eastAsia="微软雅黑"/>
                <w:sz w:val="19"/>
              </w:rPr>
              <w:t>/iot/identify/confirmed</w:t>
            </w:r>
          </w:p>
        </w:tc>
        <w:tc>
          <w:tcPr>
            <w:tcW w:type="dxa" w:w="5669"/>
          </w:tcPr>
          <w:p>
            <w:r/>
            <w:r>
              <w:rPr>
                <w:rFonts w:ascii="微软雅黑" w:hAnsi="微软雅黑" w:eastAsia="微软雅黑"/>
                <w:sz w:val="19"/>
              </w:rPr>
              <w:t>服务端确认后回传采集端</w:t>
            </w:r>
          </w:p>
        </w:tc>
      </w:tr>
    </w:tbl>
    <w:p>
      <w:pPr>
        <w:spacing w:after="40"/>
      </w:pPr>
    </w:p>
    <w:tbl>
      <w:tblPr>
        <w:tblStyle w:val="LightGrid-Accent1"/>
        <w:tblW w:type="auto" w:w="0"/>
        <w:jc w:val="center"/>
        <w:tblLook w:firstColumn="1" w:firstRow="1" w:lastColumn="0" w:lastRow="0" w:noHBand="0" w:noVBand="1" w:val="04A0"/>
      </w:tblPr>
      <w:tblGrid>
        <w:gridCol w:w="4646"/>
        <w:gridCol w:w="4646"/>
      </w:tblGrid>
      <w:tr>
        <w:tc>
          <w:tcPr>
            <w:tcW w:type="dxa" w:w="3118"/>
            <w:shd w:val="clear" w:color="auto" w:fill="164E8C"/>
          </w:tcPr>
          <w:p>
            <w:r/>
            <w:r>
              <w:rPr>
                <w:rFonts w:ascii="微软雅黑" w:hAnsi="微软雅黑" w:eastAsia="微软雅黑"/>
                <w:b/>
                <w:color w:val="FFFFFF"/>
                <w:sz w:val="20"/>
              </w:rPr>
              <w:t>核心数据表</w:t>
            </w:r>
          </w:p>
        </w:tc>
        <w:tc>
          <w:tcPr>
            <w:tcW w:type="dxa" w:w="5669"/>
            <w:shd w:val="clear" w:color="auto" w:fill="164E8C"/>
          </w:tcPr>
          <w:p>
            <w:r/>
            <w:r>
              <w:rPr>
                <w:rFonts w:ascii="微软雅黑" w:hAnsi="微软雅黑" w:eastAsia="微软雅黑"/>
                <w:b/>
                <w:color w:val="FFFFFF"/>
                <w:sz w:val="20"/>
              </w:rPr>
              <w:t>用途</w:t>
            </w:r>
          </w:p>
        </w:tc>
      </w:tr>
      <w:tr>
        <w:tc>
          <w:tcPr>
            <w:tcW w:type="dxa" w:w="3118"/>
          </w:tcPr>
          <w:p>
            <w:r/>
            <w:r>
              <w:rPr>
                <w:rFonts w:ascii="微软雅黑" w:hAnsi="微软雅黑" w:eastAsia="微软雅黑"/>
                <w:sz w:val="19"/>
              </w:rPr>
              <w:t>devices</w:t>
            </w:r>
          </w:p>
        </w:tc>
        <w:tc>
          <w:tcPr>
            <w:tcW w:type="dxa" w:w="5669"/>
          </w:tcPr>
          <w:p>
            <w:r/>
            <w:r>
              <w:rPr>
                <w:rFonts w:ascii="微软雅黑" w:hAnsi="微软雅黑" w:eastAsia="微软雅黑"/>
                <w:sz w:val="19"/>
              </w:rPr>
              <w:t>业务设备主台账</w:t>
            </w:r>
          </w:p>
        </w:tc>
      </w:tr>
      <w:tr>
        <w:tc>
          <w:tcPr>
            <w:tcW w:type="dxa" w:w="3118"/>
          </w:tcPr>
          <w:p>
            <w:r/>
            <w:r>
              <w:rPr>
                <w:rFonts w:ascii="微软雅黑" w:hAnsi="微软雅黑" w:eastAsia="微软雅黑"/>
                <w:sz w:val="19"/>
              </w:rPr>
              <w:t>device_alarms</w:t>
            </w:r>
          </w:p>
        </w:tc>
        <w:tc>
          <w:tcPr>
            <w:tcW w:type="dxa" w:w="5669"/>
          </w:tcPr>
          <w:p>
            <w:r/>
            <w:r>
              <w:rPr>
                <w:rFonts w:ascii="微软雅黑" w:hAnsi="微软雅黑" w:eastAsia="微软雅黑"/>
                <w:sz w:val="19"/>
              </w:rPr>
              <w:t>告警历史及确认状态</w:t>
            </w:r>
          </w:p>
        </w:tc>
      </w:tr>
      <w:tr>
        <w:tc>
          <w:tcPr>
            <w:tcW w:type="dxa" w:w="3118"/>
          </w:tcPr>
          <w:p>
            <w:r/>
            <w:r>
              <w:rPr>
                <w:rFonts w:ascii="微软雅黑" w:hAnsi="微软雅黑" w:eastAsia="微软雅黑"/>
                <w:sz w:val="19"/>
              </w:rPr>
              <w:t>device_registry</w:t>
            </w:r>
          </w:p>
        </w:tc>
        <w:tc>
          <w:tcPr>
            <w:tcW w:type="dxa" w:w="5669"/>
          </w:tcPr>
          <w:p>
            <w:r/>
            <w:r>
              <w:rPr>
                <w:rFonts w:ascii="微软雅黑" w:hAnsi="微软雅黑" w:eastAsia="微软雅黑"/>
                <w:sz w:val="19"/>
              </w:rPr>
              <w:t>动态设备注册台账、字段元信息与端口映射</w:t>
            </w:r>
          </w:p>
        </w:tc>
      </w:tr>
      <w:tr>
        <w:tc>
          <w:tcPr>
            <w:tcW w:type="dxa" w:w="3118"/>
          </w:tcPr>
          <w:p>
            <w:r/>
            <w:r>
              <w:rPr>
                <w:rFonts w:ascii="微软雅黑" w:hAnsi="微软雅黑" w:eastAsia="微软雅黑"/>
                <w:sz w:val="19"/>
              </w:rPr>
              <w:t>telegraf_device_record</w:t>
            </w:r>
          </w:p>
        </w:tc>
        <w:tc>
          <w:tcPr>
            <w:tcW w:type="dxa" w:w="5669"/>
          </w:tcPr>
          <w:p>
            <w:r/>
            <w:r>
              <w:rPr>
                <w:rFonts w:ascii="微软雅黑" w:hAnsi="微软雅黑" w:eastAsia="微软雅黑"/>
                <w:sz w:val="19"/>
              </w:rPr>
              <w:t>动态识别设备的原始报文与结构化结果留痕</w:t>
            </w:r>
          </w:p>
        </w:tc>
      </w:tr>
      <w:tr>
        <w:tc>
          <w:tcPr>
            <w:tcW w:type="dxa" w:w="3118"/>
          </w:tcPr>
          <w:p>
            <w:r/>
            <w:r>
              <w:rPr>
                <w:rFonts w:ascii="微软雅黑" w:hAnsi="微软雅黑" w:eastAsia="微软雅黑"/>
                <w:sz w:val="19"/>
              </w:rPr>
              <w:t>pending_identifications</w:t>
            </w:r>
          </w:p>
        </w:tc>
        <w:tc>
          <w:tcPr>
            <w:tcW w:type="dxa" w:w="5669"/>
          </w:tcPr>
          <w:p>
            <w:r/>
            <w:r>
              <w:rPr>
                <w:rFonts w:ascii="微软雅黑" w:hAnsi="微软雅黑" w:eastAsia="微软雅黑"/>
                <w:sz w:val="19"/>
              </w:rPr>
              <w:t>动态识别待确认记录</w:t>
            </w:r>
          </w:p>
        </w:tc>
      </w:tr>
      <w:tr>
        <w:tc>
          <w:tcPr>
            <w:tcW w:type="dxa" w:w="3118"/>
          </w:tcPr>
          <w:p>
            <w:r/>
            <w:r>
              <w:rPr>
                <w:rFonts w:ascii="微软雅黑" w:hAnsi="微软雅黑" w:eastAsia="微软雅黑"/>
                <w:sz w:val="19"/>
              </w:rPr>
              <w:t>device_health_score_rules / _history</w:t>
            </w:r>
          </w:p>
        </w:tc>
        <w:tc>
          <w:tcPr>
            <w:tcW w:type="dxa" w:w="5669"/>
          </w:tcPr>
          <w:p>
            <w:r/>
            <w:r>
              <w:rPr>
                <w:rFonts w:ascii="微软雅黑" w:hAnsi="微软雅黑" w:eastAsia="微软雅黑"/>
                <w:sz w:val="19"/>
              </w:rPr>
              <w:t>健康评分规则与历史</w:t>
            </w:r>
          </w:p>
        </w:tc>
      </w:tr>
      <w:tr>
        <w:tc>
          <w:tcPr>
            <w:tcW w:type="dxa" w:w="3118"/>
          </w:tcPr>
          <w:p>
            <w:r/>
            <w:r>
              <w:rPr>
                <w:rFonts w:ascii="微软雅黑" w:hAnsi="微软雅黑" w:eastAsia="微软雅黑"/>
                <w:sz w:val="19"/>
              </w:rPr>
              <w:t>port_cards / port_cards_template</w:t>
            </w:r>
          </w:p>
        </w:tc>
        <w:tc>
          <w:tcPr>
            <w:tcW w:type="dxa" w:w="5669"/>
          </w:tcPr>
          <w:p>
            <w:r/>
            <w:r>
              <w:rPr>
                <w:rFonts w:ascii="微软雅黑" w:hAnsi="微软雅黑" w:eastAsia="微软雅黑"/>
                <w:sz w:val="19"/>
              </w:rPr>
              <w:t>端口卡片、端口配置模板与显示配置</w:t>
            </w:r>
          </w:p>
        </w:tc>
      </w:tr>
      <w:tr>
        <w:tc>
          <w:tcPr>
            <w:tcW w:type="dxa" w:w="3118"/>
          </w:tcPr>
          <w:p>
            <w:r/>
            <w:r>
              <w:rPr>
                <w:rFonts w:ascii="微软雅黑" w:hAnsi="微软雅黑" w:eastAsia="微软雅黑"/>
                <w:sz w:val="19"/>
              </w:rPr>
              <w:t>ship_location_categories / ship_system_categories</w:t>
            </w:r>
          </w:p>
        </w:tc>
        <w:tc>
          <w:tcPr>
            <w:tcW w:type="dxa" w:w="5669"/>
          </w:tcPr>
          <w:p>
            <w:r/>
            <w:r>
              <w:rPr>
                <w:rFonts w:ascii="微软雅黑" w:hAnsi="微软雅黑" w:eastAsia="微软雅黑"/>
                <w:sz w:val="19"/>
              </w:rPr>
              <w:t>船舶位置分类与系统分类</w:t>
            </w:r>
          </w:p>
        </w:tc>
      </w:tr>
    </w:tbl>
    <w:p>
      <w:pPr>
        <w:spacing w:after="40"/>
      </w:pPr>
    </w:p>
    <w:p>
      <w:pPr>
        <w:jc w:val="both"/>
      </w:pPr>
      <w:r>
        <w:rPr>
          <w:rFonts w:ascii="微软雅黑" w:hAnsi="微软雅黑" w:eastAsia="微软雅黑"/>
        </w:rPr>
        <w:t>在此基础上,系统可通过 REST 接口对接设备列表、设备详情、告警、端口配置、健康评分与动态设备查询;通过 WebSocket 对接实时识别事件、健康评分或大屏实时状态;通过 MQTT 订阅采集数据、设备状态或告警事件;并提供在线接口文档用于联调与验收。按项目需要,还可提供数据库只读查询或数据导出接口。</w:t>
      </w:r>
    </w:p>
    <w:p>
      <w:pPr>
        <w:spacing w:before="200" w:after="60"/>
      </w:pPr>
      <w:r>
        <w:rPr>
          <w:rFonts w:ascii="微软雅黑" w:hAnsi="微软雅黑" w:eastAsia="微软雅黑"/>
          <w:b/>
          <w:color w:val="0B7A6E"/>
          <w:sz w:val="24"/>
        </w:rPr>
        <w:t>2.6  关键业务流程</w:t>
      </w:r>
    </w:p>
    <w:p>
      <w:pPr>
        <w:jc w:val="both"/>
      </w:pPr>
      <w:r>
        <w:rPr>
          <w:rFonts w:ascii="微软雅黑" w:hAnsi="微软雅黑" w:eastAsia="微软雅黑"/>
        </w:rPr>
      </w:r>
      <w:r>
        <w:rPr>
          <w:rFonts w:ascii="微软雅黑" w:hAnsi="微软雅黑" w:eastAsia="微软雅黑"/>
          <w:b/>
        </w:rPr>
        <w:t>标准设备采集流程。</w:t>
      </w:r>
      <w:r>
        <w:rPr>
          <w:rFonts w:ascii="微软雅黑" w:hAnsi="微软雅黑" w:eastAsia="微软雅黑"/>
        </w:rPr>
        <w:t xml:space="preserve"> 现场设备通过串口服务器、TCP、CAN 或 PLC 接入采集主机后,采集端完成协议识别、端口绑定与数据转发;解析引擎按预置解析器将原始报文转换为标准 JSON;标准化数据经 MQTT 输出至服务端;服务端消费数据、更新实时状态并写入数据库;最终前端大屏、Web 页面或第三方系统通过接口或实时推送获取数据。</w:t>
      </w:r>
    </w:p>
    <w:p>
      <w:pPr>
        <w:jc w:val="both"/>
      </w:pPr>
      <w:r>
        <w:rPr>
          <w:rFonts w:ascii="微软雅黑" w:hAnsi="微软雅黑" w:eastAsia="微软雅黑"/>
        </w:rPr>
      </w:r>
      <w:r>
        <w:rPr>
          <w:rFonts w:ascii="微软雅黑" w:hAnsi="微软雅黑" w:eastAsia="微软雅黑"/>
          <w:b/>
        </w:rPr>
        <w:t>新增设备接入流程。</w:t>
      </w:r>
      <w:r>
        <w:rPr>
          <w:rFonts w:ascii="微软雅黑" w:hAnsi="微软雅黑" w:eastAsia="微软雅黑"/>
        </w:rPr>
        <w:t xml:space="preserve"> 当未知设备接入、协议路由无法命中已有模板时,采集端自动采集若干帧原始报文并发布识别请求;AI 识别模块进行协议与字段的辅助分析并生成候选配置;服务端接收识别进度与待确认结果,形成待确认记录;经人工确认后,服务端回传确认消息;采集端随即完成动态端口绑定与配置热重载,新增设备进入标准采集链路;服务端建立动态设备台账,并支持最新值、历史值与元信息查询。</w:t>
      </w:r>
    </w:p>
    <w:p>
      <w:pPr>
        <w:jc w:val="both"/>
      </w:pPr>
      <w:r>
        <w:rPr>
          <w:rFonts w:ascii="微软雅黑" w:hAnsi="微软雅黑" w:eastAsia="微软雅黑"/>
        </w:rPr>
      </w:r>
      <w:r>
        <w:rPr>
          <w:rFonts w:ascii="微软雅黑" w:hAnsi="微软雅黑" w:eastAsia="微软雅黑"/>
          <w:b/>
        </w:rPr>
        <w:t>告警与健康评分流程。</w:t>
      </w:r>
      <w:r>
        <w:rPr>
          <w:rFonts w:ascii="微软雅黑" w:hAnsi="微软雅黑" w:eastAsia="微软雅黑"/>
        </w:rPr>
        <w:t xml:space="preserve"> 采集端或服务端根据设备数据产生异常状态或告警事件后,服务端写入告警历史并推送实时告警列表;操作员在前端确认告警,服务端记录确认状态;健康评分调度器定期扫描设备最新数据,按规则计算健康分;评分结果写入历史表,并可转化为实时告警或趋势分析数据。</w:t>
      </w:r>
    </w:p>
    <w:p>
      <w:pPr>
        <w:spacing w:before="200" w:after="60"/>
      </w:pPr>
      <w:r>
        <w:rPr>
          <w:rFonts w:ascii="微软雅黑" w:hAnsi="微软雅黑" w:eastAsia="微软雅黑"/>
          <w:b/>
          <w:color w:val="0B7A6E"/>
          <w:sz w:val="24"/>
        </w:rPr>
        <w:t>2.7  部署方式与现场条件</w:t>
      </w:r>
    </w:p>
    <w:p>
      <w:pPr>
        <w:jc w:val="both"/>
      </w:pPr>
      <w:r>
        <w:rPr>
          <w:rFonts w:ascii="微软雅黑" w:hAnsi="微软雅黑" w:eastAsia="微软雅黑"/>
        </w:rPr>
        <w:t>底座采用 Docker Compose 方式部署,既适合船端工控机与边缘服务器,也适合岸端服务器环境;根据客户的网络与运维策略,可选择船端独立部署、岸端集中部署或船岸协同部署。主要部署组件包括:现场端口接入与动态端口绑定的协议路由组件、按协议解析并输出标准数据的采集解析组件、用于未知设备识别与动态配置生成的设备智能识别组件、承担业务接口与监控告警的服务端业务中台、关系库与时序库、缓存组件、消息中间件、可按需启用的本地 AI 识别能力,以及日志采集与可视化组件。</w:t>
      </w:r>
    </w:p>
    <w:p>
      <w:pPr>
        <w:jc w:val="both"/>
      </w:pPr>
      <w:r>
        <w:rPr>
          <w:rFonts w:ascii="微软雅黑" w:hAnsi="微软雅黑" w:eastAsia="微软雅黑"/>
        </w:rPr>
        <w:t>在现场条件上,采集主机或服务器需具备容器运行环境;若需接入宿主机串口,采集端需具备相应的设备访问权限;若启用动态解析的热重载,需具备容器内外的信号控制或等效热重载机制;若启用本地 AI 辅助识别,需部署相应模型;船端网络需放行设备入口端口、消息总线、数据库、缓存与服务端接口的必要通信。此外,Modbus 类设备需由厂家或客户提供完整的寄存器表、量纲、倍率、报警位定义与通讯参数,这是现场实施前需要落实的输入。</w:t>
      </w:r>
    </w:p>
    <w:p>
      <w:pPr>
        <w:spacing w:before="200" w:after="60"/>
      </w:pPr>
      <w:r>
        <w:rPr>
          <w:rFonts w:ascii="微软雅黑" w:hAnsi="微软雅黑" w:eastAsia="微软雅黑"/>
          <w:b/>
          <w:color w:val="0B7A6E"/>
          <w:sz w:val="24"/>
        </w:rPr>
        <w:t>2.8  安全性、可靠性与运维</w:t>
      </w:r>
    </w:p>
    <w:p>
      <w:pPr>
        <w:jc w:val="both"/>
      </w:pPr>
      <w:r>
        <w:rPr>
          <w:rFonts w:ascii="微软雅黑" w:hAnsi="微软雅黑" w:eastAsia="微软雅黑"/>
        </w:rPr>
        <w:t>在可靠性方面,消息客户端支持自动重连,降低网络瞬断对采集链路的影响;数据库、缓存与消息中间件等基础组件支持容器级重启恢复;动态端口绑定与设备识别结果可通过数据库或缓存恢复;采集日志支持滚动归档,服务端日志支持结构化输出;运维组件支持日志查询、问题定位与可视化。</w:t>
      </w:r>
    </w:p>
    <w:p>
      <w:pPr>
        <w:jc w:val="both"/>
      </w:pPr>
      <w:r>
        <w:rPr>
          <w:rFonts w:ascii="微软雅黑" w:hAnsi="微软雅黑" w:eastAsia="微软雅黑"/>
        </w:rPr>
        <w:t>在安全性方面,生产环境应为消息总线、缓存、数据库与服务端接口配置强口令与访问控制,并将采集网络、业务网络与对外访问网络进行必要隔离;若涉及船岸通信,应补充传输加密、身份认证与访问白名单;同时应限制容器运行时与宿主机设备权限的暴露范围,避免非必要的高权限运行。在运维能力方面,在线接口文档便于联调与验收,消息日志可用于排查采集链路问题,日志聚合与可视化便于故障定位,数据库中的采集、告警与评分记录则可用于问题追溯。</w:t>
      </w:r>
    </w:p>
    <w:p>
      <w:pPr>
        <w:spacing w:before="320" w:after="120"/>
        <w:pBdr>
          <w:bottom w:val="single" w:sz="6" w:space="4" w:color="164E8C"/>
        </w:pBdr>
      </w:pPr>
      <w:r>
        <w:rPr>
          <w:rFonts w:ascii="微软雅黑" w:hAnsi="微软雅黑" w:eastAsia="微软雅黑"/>
          <w:b/>
          <w:color w:val="164E8C"/>
          <w:sz w:val="30"/>
        </w:rPr>
        <w:t>三、边缘智能主机</w:t>
      </w:r>
    </w:p>
    <w:p>
      <w:pPr>
        <w:jc w:val="both"/>
      </w:pPr>
      <w:r>
        <w:rPr>
          <w:rFonts w:ascii="微软雅黑" w:hAnsi="微软雅黑" w:eastAsia="微软雅黑"/>
        </w:rPr>
        <w:t>在数据底座之下,承载采集端的硬件核心,是一台部署在船端的边缘智能主机。它一方面承担全船设备的统一接入、协议解析与数据标准化转发,是数据进入系统的第一道关口;另一方面内置算力,在船端就近完成异常识别、声学分析、虚拟感知与本地诊断等推理任务,即便在与岸端断联的情况下,船端仍能维持基本的自治能力。</w:t>
      </w:r>
    </w:p>
    <w:tbl>
      <w:tblPr>
        <w:tblW w:type="auto" w:w="0"/>
        <w:jc w:val="center"/>
        <w:tblLook w:firstColumn="1" w:firstRow="1" w:lastColumn="0" w:lastRow="0" w:noHBand="0" w:noVBand="1" w:val="04A0"/>
      </w:tblPr>
      <w:tblGrid>
        <w:gridCol w:w="9292"/>
      </w:tblGrid>
      <w:tr>
        <w:tc>
          <w:tcPr>
            <w:tcW w:type="dxa" w:w="8787"/>
            <w:shd w:val="clear" w:color="auto" w:fill="F2F5F9"/>
          </w:tcPr>
          <w:p>
            <w:pPr>
              <w:spacing w:before="600" w:after="600"/>
              <w:jc w:val="center"/>
            </w:pPr>
            <w:r>
              <w:rPr>
                <w:rFonts w:ascii="微软雅黑" w:hAnsi="微软雅黑" w:eastAsia="微软雅黑"/>
                <w:color w:val="AAAAAA"/>
                <w:sz w:val="18"/>
              </w:rPr>
              <w:t>产品图（待插入）</w:t>
            </w:r>
          </w:p>
        </w:tc>
      </w:tr>
    </w:tbl>
    <w:p>
      <w:pPr>
        <w:spacing w:after="200"/>
        <w:jc w:val="center"/>
      </w:pPr>
      <w:r>
        <w:rPr>
          <w:rFonts w:ascii="微软雅黑" w:hAnsi="微软雅黑" w:eastAsia="微软雅黑"/>
          <w:i/>
          <w:color w:val="666666"/>
          <w:sz w:val="18"/>
        </w:rPr>
        <w:t>图 1  AI+IoT 智能体 V2.0 边缘智能主机：纯血国产灵汐芯片、面向航运环境的全新机箱、多协议适配,满足 AIS、定位、罗经、雷达、推进等 50 余类设备接入</w:t>
      </w:r>
    </w:p>
    <w:p>
      <w:pPr>
        <w:jc w:val="both"/>
      </w:pPr>
      <w:r>
        <w:rPr>
          <w:rFonts w:ascii="微软雅黑" w:hAnsi="微软雅黑" w:eastAsia="微软雅黑"/>
        </w:rPr>
        <w:t>主机的算力核心采用纯血国产的灵汐类脑 AI 芯片。相较通用处理器,类脑架构在持续的边缘推理负载下兼顾算力与功耗,并针对高温、粉尘、振动等工业现场作了适配,适合长期运行于机舱及驾驶台等环境。整机按航运现场要求设计,具备较宽的工作温度范围与较高的防护与三防等级,被动散热、无风扇,降低了海上长期运行的维护负担。主要规格如下。</w:t>
      </w:r>
    </w:p>
    <w:tbl>
      <w:tblPr>
        <w:tblStyle w:val="LightGrid-Accent1"/>
        <w:tblW w:type="auto" w:w="0"/>
        <w:jc w:val="center"/>
        <w:tblLook w:firstColumn="1" w:firstRow="1" w:lastColumn="0" w:lastRow="0" w:noHBand="0" w:noVBand="1" w:val="04A0"/>
      </w:tblPr>
      <w:tblGrid>
        <w:gridCol w:w="4646"/>
        <w:gridCol w:w="4646"/>
      </w:tblGrid>
      <w:tr>
        <w:tc>
          <w:tcPr>
            <w:tcW w:type="dxa" w:w="2041"/>
            <w:shd w:val="clear" w:color="auto" w:fill="164E8C"/>
          </w:tcPr>
          <w:p>
            <w:r/>
            <w:r>
              <w:rPr>
                <w:rFonts w:ascii="微软雅黑" w:hAnsi="微软雅黑" w:eastAsia="微软雅黑"/>
                <w:b/>
                <w:color w:val="FFFFFF"/>
                <w:sz w:val="20"/>
              </w:rPr>
              <w:t>项目</w:t>
            </w:r>
          </w:p>
        </w:tc>
        <w:tc>
          <w:tcPr>
            <w:tcW w:type="dxa" w:w="6746"/>
            <w:shd w:val="clear" w:color="auto" w:fill="164E8C"/>
          </w:tcPr>
          <w:p>
            <w:r/>
            <w:r>
              <w:rPr>
                <w:rFonts w:ascii="微软雅黑" w:hAnsi="微软雅黑" w:eastAsia="微软雅黑"/>
                <w:b/>
                <w:color w:val="FFFFFF"/>
                <w:sz w:val="20"/>
              </w:rPr>
              <w:t>规格</w:t>
            </w:r>
          </w:p>
        </w:tc>
      </w:tr>
      <w:tr>
        <w:tc>
          <w:tcPr>
            <w:tcW w:type="dxa" w:w="2041"/>
          </w:tcPr>
          <w:p>
            <w:r/>
            <w:r>
              <w:rPr>
                <w:rFonts w:ascii="微软雅黑" w:hAnsi="微软雅黑" w:eastAsia="微软雅黑"/>
                <w:sz w:val="19"/>
              </w:rPr>
              <w:t>类脑算力</w:t>
            </w:r>
          </w:p>
        </w:tc>
        <w:tc>
          <w:tcPr>
            <w:tcW w:type="dxa" w:w="6746"/>
          </w:tcPr>
          <w:p>
            <w:r/>
            <w:r>
              <w:rPr>
                <w:rFonts w:ascii="微软雅黑" w:hAnsi="微软雅黑" w:eastAsia="微软雅黑"/>
                <w:sz w:val="19"/>
              </w:rPr>
              <w:t>INT8 48 TOPS / FP16 24 TFLOPS;类脑架构,30MB 片上 SRAM</w:t>
            </w:r>
          </w:p>
        </w:tc>
      </w:tr>
      <w:tr>
        <w:tc>
          <w:tcPr>
            <w:tcW w:type="dxa" w:w="2041"/>
          </w:tcPr>
          <w:p>
            <w:r/>
            <w:r>
              <w:rPr>
                <w:rFonts w:ascii="微软雅黑" w:hAnsi="微软雅黑" w:eastAsia="微软雅黑"/>
                <w:sz w:val="19"/>
              </w:rPr>
              <w:t>主控与内存</w:t>
            </w:r>
          </w:p>
        </w:tc>
        <w:tc>
          <w:tcPr>
            <w:tcW w:type="dxa" w:w="6746"/>
          </w:tcPr>
          <w:p>
            <w:r/>
            <w:r>
              <w:rPr>
                <w:rFonts w:ascii="微软雅黑" w:hAnsi="微软雅黑" w:eastAsia="微软雅黑"/>
                <w:sz w:val="19"/>
              </w:rPr>
              <w:t>国产 8 核处理器,8GB LPDDR4x(支持 ECC)</w:t>
            </w:r>
          </w:p>
        </w:tc>
      </w:tr>
      <w:tr>
        <w:tc>
          <w:tcPr>
            <w:tcW w:type="dxa" w:w="2041"/>
          </w:tcPr>
          <w:p>
            <w:r/>
            <w:r>
              <w:rPr>
                <w:rFonts w:ascii="微软雅黑" w:hAnsi="微软雅黑" w:eastAsia="微软雅黑"/>
                <w:sz w:val="19"/>
              </w:rPr>
              <w:t>工业环境适应</w:t>
            </w:r>
          </w:p>
        </w:tc>
        <w:tc>
          <w:tcPr>
            <w:tcW w:type="dxa" w:w="6746"/>
          </w:tcPr>
          <w:p>
            <w:r/>
            <w:r>
              <w:rPr>
                <w:rFonts w:ascii="微软雅黑" w:hAnsi="微软雅黑" w:eastAsia="微软雅黑"/>
                <w:sz w:val="19"/>
              </w:rPr>
              <w:t>工作温度 -20℃ ~ +60℃;防护等级 IP65;防水、防尘、防静电;被动散热;9–36V 直流供电;典型功耗 45W</w:t>
            </w:r>
          </w:p>
        </w:tc>
      </w:tr>
    </w:tbl>
    <w:p>
      <w:pPr>
        <w:spacing w:after="40"/>
      </w:pPr>
    </w:p>
    <w:p>
      <w:pPr>
        <w:spacing w:before="320" w:after="120"/>
        <w:pBdr>
          <w:bottom w:val="single" w:sz="6" w:space="4" w:color="164E8C"/>
        </w:pBdr>
      </w:pPr>
      <w:r>
        <w:rPr>
          <w:rFonts w:ascii="微软雅黑" w:hAnsi="微软雅黑" w:eastAsia="微软雅黑"/>
          <w:b/>
          <w:color w:val="164E8C"/>
          <w:sz w:val="30"/>
        </w:rPr>
        <w:t>四、核心能力</w:t>
      </w:r>
    </w:p>
    <w:p>
      <w:pPr>
        <w:jc w:val="both"/>
      </w:pPr>
      <w:r>
        <w:rPr>
          <w:rFonts w:ascii="微软雅黑" w:hAnsi="微软雅黑" w:eastAsia="微软雅黑"/>
        </w:rPr>
        <w:t>如果说数据底座解决的是"设备到数据"的问题,那么本章所述的核心能力,解决的就是"数据到人机"的问题——把标准化的数据,转化为船员真正用得上的看、问、操、控。</w:t>
      </w:r>
    </w:p>
    <w:p>
      <w:pPr>
        <w:spacing w:before="200" w:after="60"/>
      </w:pPr>
      <w:r>
        <w:rPr>
          <w:rFonts w:ascii="微软雅黑" w:hAnsi="微软雅黑" w:eastAsia="微软雅黑"/>
          <w:b/>
          <w:color w:val="0B7A6E"/>
          <w:sz w:val="24"/>
        </w:rPr>
        <w:t>4.1  底层数据处理</w:t>
      </w:r>
    </w:p>
    <w:p>
      <w:pPr>
        <w:jc w:val="both"/>
      </w:pPr>
      <w:r>
        <w:rPr>
          <w:rFonts w:ascii="微软雅黑" w:hAnsi="微软雅黑" w:eastAsia="微软雅黑"/>
        </w:rPr>
        <w:t>传统的船舶设备集成,往往依赖资深工程师在现场逐台编写解析脚本、反复调试,周期长、对人依赖重。本系统把这一过程模板化:针对不同的数据类型与协议类型预先建立解析模板,设备接入时自动或手动匹配相应模板,系统即可自动完成协议解析与端口映射。这样一来,原本需要专家逐台处理的接入工作,就变成了可以批量推进的标准化作业,现场实施与交付周期被大幅压缩,对个别工程师的依赖也随之降低。</w:t>
      </w:r>
    </w:p>
    <w:p>
      <w:pPr>
        <w:jc w:val="both"/>
      </w:pPr>
      <w:r>
        <w:rPr>
          <w:rFonts w:ascii="微软雅黑" w:hAnsi="微软雅黑" w:eastAsia="微软雅黑"/>
        </w:rPr>
        <w:t>在接入的同时,系统会为每一台设备、每一个传感器打上两类标签:一类是系统分类,例如动力系统、配电系统;一类是位置分类,例如主推舱、驾驶舱。这两类标签看似简单,却为后续的 AI 分析提供了关键的结构化信息。当某处发生故障时,系统不再孤立地看待单台设备的报错,而能够结合它所属的系统与所处的物理位置,判断故障的根源究竟出在哪个舱室,以及可能沿系统链路波及到哪些上下游设备。</w:t>
      </w:r>
    </w:p>
    <w:p>
      <w:pPr>
        <w:spacing w:before="200" w:after="60"/>
      </w:pPr>
      <w:r>
        <w:rPr>
          <w:rFonts w:ascii="微软雅黑" w:hAnsi="微软雅黑" w:eastAsia="微软雅黑"/>
          <w:b/>
          <w:color w:val="0B7A6E"/>
          <w:sz w:val="24"/>
        </w:rPr>
        <w:t>4.2  数据拓展运用</w:t>
      </w:r>
    </w:p>
    <w:p>
      <w:pPr>
        <w:jc w:val="both"/>
      </w:pPr>
      <w:r>
        <w:rPr>
          <w:rFonts w:ascii="微软雅黑" w:hAnsi="微软雅黑" w:eastAsia="微软雅黑"/>
        </w:rPr>
        <w:t>在实际营运中,部分采用 CAN 等协议的设备在某些工况下本就不发送数据。若简单地以"是否收到数据"判断在线与否,极易产生误报。为此,系统对"离线"作了更贴近实际的定义:它综合判断"是否收到数据"与"按当前工况是否应该有数据"。举例而言,主发电机运行时,系统期望冷却水泵上报数据;而当主发电机停机,水泵本就不应有数据,此时的静默属于正常状态。这一机制显著减少了无意义的离线告警。</w:t>
      </w:r>
    </w:p>
    <w:p>
      <w:pPr>
        <w:jc w:val="both"/>
      </w:pPr>
      <w:r>
        <w:rPr>
          <w:rFonts w:ascii="微软雅黑" w:hAnsi="微软雅黑" w:eastAsia="微软雅黑"/>
        </w:rPr>
        <w:t>设备数据只有结合船舶当前的工况,才真正具备意义。系统通过分析对地航速、转速、航向变化率、侧推状态、对水航速等参数,自动识别船舶当前处于进出港机动、停泊系泊、正常航行还是无动力漂航四个阶段中的哪一个,从而为后续分析提供"船舶环境上下文"。有了这一上下文,同一组数据在不同工况下会被赋予不同的含义,AI 的研判也就摆脱了脱离实际场景的机械判断,具备了真正的航行环境感知力。</w:t>
      </w:r>
    </w:p>
    <w:p>
      <w:pPr>
        <w:jc w:val="both"/>
      </w:pPr>
      <w:r>
        <w:rPr>
          <w:rFonts w:ascii="微软雅黑" w:hAnsi="微软雅黑" w:eastAsia="微软雅黑"/>
        </w:rPr>
        <w:t>在设备健康层面,系统为每一类设备设定了熔断红线与短板扣分规则,据此实时计算出 0 到 100 的健康评分。一方面,运维与驾驶人员可以借此快速掌握设备的退化状态;另一方面,健康分随时间形成的序列,为 AI 提供了"故障趋势"这一关键依据,是从"坏了再修"走向预测性维护的基础。</w:t>
      </w:r>
    </w:p>
    <w:p>
      <w:pPr>
        <w:jc w:val="both"/>
      </w:pPr>
      <w:r>
        <w:rPr>
          <w:rFonts w:ascii="微软雅黑" w:hAnsi="微软雅黑" w:eastAsia="微软雅黑"/>
        </w:rPr>
        <w:t>针对以往告警"一股脑全部弹出、抓不住重点"的问题,系统按设备报错的致命程度建立了三级分层。P0 紧急告警对应触碰物理红线的情形,瞬时触发,要求立即停机或干预;P1 异常预警针对带有一定时间防抖的趋势性恶化,提醒船员及时排查;P2 运行提示则是轻微的基准偏离,由系统在后台静默记录,不打扰正常驾驶。这样的分层,让船员在绝大多数时间里免于无效弹窗的干扰,又能在真正紧急的时刻第一时间获得最高优先级的阻断提醒。</w:t>
      </w:r>
    </w:p>
    <w:p>
      <w:pPr>
        <w:spacing w:before="200" w:after="60"/>
      </w:pPr>
      <w:r>
        <w:rPr>
          <w:rFonts w:ascii="微软雅黑" w:hAnsi="微软雅黑" w:eastAsia="微软雅黑"/>
          <w:b/>
          <w:color w:val="0B7A6E"/>
          <w:sz w:val="24"/>
        </w:rPr>
        <w:t>4.3  交互体验</w:t>
      </w:r>
    </w:p>
    <w:p>
      <w:pPr>
        <w:jc w:val="both"/>
      </w:pPr>
      <w:r>
        <w:rPr>
          <w:rFonts w:ascii="微软雅黑" w:hAnsi="微软雅黑" w:eastAsia="微软雅黑"/>
        </w:rPr>
        <w:t>前端大屏与设备详情页经过专门优化,每一个设备信息卡片上都设有一个健康分色点。使用者只需扫一眼首页,看到哪一处的色点由绿转黄,便能立刻定位到需要关注的设备,系统的上手门槛因此大幅降低。</w:t>
      </w:r>
    </w:p>
    <w:p>
      <w:pPr>
        <w:jc w:val="both"/>
      </w:pPr>
      <w:r>
        <w:rPr>
          <w:rFonts w:ascii="微软雅黑" w:hAnsi="微软雅黑" w:eastAsia="微软雅黑"/>
        </w:rPr>
        <w:t>系统为平台的 AI 助手配备了三项跨设备的数据获取能力——航向状态、设备分类标签及其数据、设备健康分细则及趋势,使其具备多参数融合分析的能力。借助这些信息,AI 不再只盯着报错的那一台设备,而是结合与之关联的其他系统的状态、船舶当前所处的环境,以及健康分的下滑趋势进行综合研判。举例而言,当主推进系统温度偏高、同时发电机处于大负载状态时,系统能够据此判断更可能是螺旋桨卡死所引发的连锁反应,而非单纯的冷却故障,从而给出更具实操指导意义的处置建议。</w:t>
      </w:r>
    </w:p>
    <w:p>
      <w:pPr>
        <w:jc w:val="both"/>
      </w:pPr>
      <w:r>
        <w:rPr>
          <w:rFonts w:ascii="微软雅黑" w:hAnsi="微软雅黑" w:eastAsia="微软雅黑"/>
        </w:rPr>
        <w:t>情境化的问答进一步降低了沟通成本。如果某台设备此前发生过报警并经 AI 诊断,后续再用 AI 助手问询时,系统会自动带上上一轮的诊断报告、当前界面停留的设备语境、历史对话记录以及用户的即时输入。凭借这些复合信息,AI 能够像一位有经验的同事那样,听懂船员在紧急情况下的模糊提问,例如"这个严重吗""需不需要停机",而不必要求对方反复交代背景。</w:t>
      </w:r>
    </w:p>
    <w:tbl>
      <w:tblPr>
        <w:tblW w:type="auto" w:w="0"/>
        <w:jc w:val="center"/>
        <w:tblLook w:firstColumn="1" w:firstRow="1" w:lastColumn="0" w:lastRow="0" w:noHBand="0" w:noVBand="1" w:val="04A0"/>
      </w:tblPr>
      <w:tblGrid>
        <w:gridCol w:w="9292"/>
      </w:tblGrid>
      <w:tr>
        <w:tc>
          <w:tcPr>
            <w:tcW w:type="dxa" w:w="8787"/>
            <w:shd w:val="clear" w:color="auto" w:fill="F2F5F9"/>
          </w:tcPr>
          <w:p>
            <w:pPr>
              <w:spacing w:before="600" w:after="600"/>
              <w:jc w:val="center"/>
            </w:pPr>
            <w:r>
              <w:rPr>
                <w:rFonts w:ascii="微软雅黑" w:hAnsi="微软雅黑" w:eastAsia="微软雅黑"/>
                <w:color w:val="AAAAAA"/>
                <w:sz w:val="18"/>
              </w:rPr>
              <w:t>产品图（待插入）</w:t>
            </w:r>
          </w:p>
        </w:tc>
      </w:tr>
    </w:tbl>
    <w:p>
      <w:pPr>
        <w:spacing w:after="200"/>
        <w:jc w:val="center"/>
      </w:pPr>
      <w:r>
        <w:rPr>
          <w:rFonts w:ascii="微软雅黑" w:hAnsi="微软雅黑" w:eastAsia="微软雅黑"/>
          <w:i/>
          <w:color w:val="666666"/>
          <w:sz w:val="18"/>
        </w:rPr>
        <w:t>图 2  IOT 平台与 IOT Pad 交互界面：设备详情、流量与转速、电压与温度、趋势曲线等实时监控</w:t>
      </w:r>
    </w:p>
    <w:p>
      <w:pPr>
        <w:jc w:val="both"/>
      </w:pPr>
      <w:r>
        <w:rPr>
          <w:rFonts w:ascii="微软雅黑" w:hAnsi="微软雅黑" w:eastAsia="微软雅黑"/>
        </w:rPr>
        <w:t>归纳而言,系统的能力围绕"看、问、操、控"四条主线展开:看,是统一的可视化与视频呈现;问,是 AI 的跨设备融合诊断与情境问答;操,是即插即用的接入与移动终端上的现场闭环;控,则是下一节将要详述的、可分级的设备控制。</w:t>
      </w:r>
    </w:p>
    <w:p>
      <w:pPr>
        <w:spacing w:before="320" w:after="120"/>
        <w:pBdr>
          <w:bottom w:val="single" w:sz="6" w:space="4" w:color="164E8C"/>
        </w:pBdr>
      </w:pPr>
      <w:r>
        <w:rPr>
          <w:rFonts w:ascii="微软雅黑" w:hAnsi="微软雅黑" w:eastAsia="微软雅黑"/>
          <w:b/>
          <w:color w:val="164E8C"/>
          <w:sz w:val="30"/>
        </w:rPr>
        <w:t>五、控制与 AI 责任边界</w:t>
      </w:r>
    </w:p>
    <w:p>
      <w:pPr>
        <w:jc w:val="both"/>
      </w:pPr>
      <w:r>
        <w:rPr>
          <w:rFonts w:ascii="微软雅黑" w:hAnsi="微软雅黑" w:eastAsia="微软雅黑"/>
        </w:rPr>
        <w:t>当 AI 的能力延伸到对船舶的控制时,真正需要回答的问题,不是"把控制权交给谁",而是"如何让 AI 的判断按照风险与可信程度,经过严格把关,逐级、可控地转化为实际动作"。本系统在这一问题上采用自有的分级控制方案,由系统自身完成从风险研判到控制输出的完整闭环,并以分级、可仲裁、可降级三项原则贯穿其中。</w:t>
      </w:r>
    </w:p>
    <w:p>
      <w:pPr>
        <w:jc w:val="both"/>
      </w:pPr>
      <w:r>
        <w:rPr>
          <w:rFonts w:ascii="微软雅黑" w:hAnsi="微软雅黑" w:eastAsia="微软雅黑"/>
        </w:rPr>
        <w:t>在这一闭环中,AI 承担的是感知融合、风险评分与研判建议的工作:它将多源数据融合为统一的态势,给出一个介于 0 与 1 之间的风险评分,并据此提出建议或辅助动作及其置信度。AI 不会无条件、也不会直接接管真实执行;对于火警、进水检测这类法定安全系统,AI 的作用是减少误报、辅助定位、提高感知的先验,而不是取而代之。最终的确认与值守始终保留在人这一侧,系统的全部动作均可回放、可审计、可追溯。</w:t>
      </w:r>
    </w:p>
    <w:p>
      <w:pPr>
        <w:jc w:val="both"/>
      </w:pPr>
      <w:r>
        <w:rPr>
          <w:rFonts w:ascii="微软雅黑" w:hAnsi="微软雅黑" w:eastAsia="微软雅黑"/>
        </w:rPr>
        <w:t>控制权限按风险高低分为四档,由风险评分、置信度、当前运行设计域以及关键传感器的健康状况共同决定。</w:t>
      </w:r>
    </w:p>
    <w:tbl>
      <w:tblPr>
        <w:tblStyle w:val="LightGrid-Accent1"/>
        <w:tblW w:type="auto" w:w="0"/>
        <w:jc w:val="center"/>
        <w:tblLook w:firstColumn="1" w:firstRow="1" w:lastColumn="0" w:lastRow="0" w:noHBand="0" w:noVBand="1" w:val="04A0"/>
      </w:tblPr>
      <w:tblGrid>
        <w:gridCol w:w="2323"/>
        <w:gridCol w:w="2323"/>
        <w:gridCol w:w="2323"/>
        <w:gridCol w:w="2323"/>
      </w:tblGrid>
      <w:tr>
        <w:tc>
          <w:tcPr>
            <w:tcW w:type="dxa" w:w="1361"/>
            <w:shd w:val="clear" w:color="auto" w:fill="164E8C"/>
          </w:tcPr>
          <w:p>
            <w:r/>
            <w:r>
              <w:rPr>
                <w:rFonts w:ascii="微软雅黑" w:hAnsi="微软雅黑" w:eastAsia="微软雅黑"/>
                <w:b/>
                <w:color w:val="FFFFFF"/>
                <w:sz w:val="20"/>
              </w:rPr>
              <w:t>控制模式</w:t>
            </w:r>
          </w:p>
        </w:tc>
        <w:tc>
          <w:tcPr>
            <w:tcW w:type="dxa" w:w="3175"/>
            <w:shd w:val="clear" w:color="auto" w:fill="164E8C"/>
          </w:tcPr>
          <w:p>
            <w:r/>
            <w:r>
              <w:rPr>
                <w:rFonts w:ascii="微软雅黑" w:hAnsi="微软雅黑" w:eastAsia="微软雅黑"/>
                <w:b/>
                <w:color w:val="FFFFFF"/>
                <w:sz w:val="20"/>
              </w:rPr>
              <w:t>触发条件</w:t>
            </w:r>
          </w:p>
        </w:tc>
        <w:tc>
          <w:tcPr>
            <w:tcW w:type="dxa" w:w="2948"/>
            <w:shd w:val="clear" w:color="auto" w:fill="164E8C"/>
          </w:tcPr>
          <w:p>
            <w:r/>
            <w:r>
              <w:rPr>
                <w:rFonts w:ascii="微软雅黑" w:hAnsi="微软雅黑" w:eastAsia="微软雅黑"/>
                <w:b/>
                <w:color w:val="FFFFFF"/>
                <w:sz w:val="20"/>
              </w:rPr>
              <w:t>典型输出</w:t>
            </w:r>
          </w:p>
        </w:tc>
        <w:tc>
          <w:tcPr>
            <w:tcW w:type="dxa" w:w="1304"/>
            <w:shd w:val="clear" w:color="auto" w:fill="164E8C"/>
          </w:tcPr>
          <w:p>
            <w:r/>
            <w:r>
              <w:rPr>
                <w:rFonts w:ascii="微软雅黑" w:hAnsi="微软雅黑" w:eastAsia="微软雅黑"/>
                <w:b/>
                <w:color w:val="FFFFFF"/>
                <w:sz w:val="20"/>
              </w:rPr>
              <w:t>是否需要人确认</w:t>
            </w:r>
          </w:p>
        </w:tc>
      </w:tr>
      <w:tr>
        <w:tc>
          <w:tcPr>
            <w:tcW w:type="dxa" w:w="1361"/>
          </w:tcPr>
          <w:p>
            <w:r/>
            <w:r>
              <w:rPr>
                <w:rFonts w:ascii="微软雅黑" w:hAnsi="微软雅黑" w:eastAsia="微软雅黑"/>
                <w:sz w:val="19"/>
              </w:rPr>
              <w:t>建议</w:t>
            </w:r>
          </w:p>
        </w:tc>
        <w:tc>
          <w:tcPr>
            <w:tcW w:type="dxa" w:w="3175"/>
          </w:tcPr>
          <w:p>
            <w:r/>
            <w:r>
              <w:rPr>
                <w:rFonts w:ascii="微软雅黑" w:hAnsi="微软雅黑" w:eastAsia="微软雅黑"/>
                <w:sz w:val="19"/>
              </w:rPr>
              <w:t>风险评分低于 0.55,或置信度不足</w:t>
            </w:r>
          </w:p>
        </w:tc>
        <w:tc>
          <w:tcPr>
            <w:tcW w:type="dxa" w:w="2948"/>
          </w:tcPr>
          <w:p>
            <w:r/>
            <w:r>
              <w:rPr>
                <w:rFonts w:ascii="微软雅黑" w:hAnsi="微软雅黑" w:eastAsia="微软雅黑"/>
                <w:sz w:val="19"/>
              </w:rPr>
              <w:t>在人机界面给出航向、航速建议与报警提示</w:t>
            </w:r>
          </w:p>
        </w:tc>
        <w:tc>
          <w:tcPr>
            <w:tcW w:type="dxa" w:w="1304"/>
          </w:tcPr>
          <w:p>
            <w:r/>
            <w:r>
              <w:rPr>
                <w:rFonts w:ascii="微软雅黑" w:hAnsi="微软雅黑" w:eastAsia="微软雅黑"/>
                <w:sz w:val="19"/>
              </w:rPr>
              <w:t>否</w:t>
            </w:r>
          </w:p>
        </w:tc>
      </w:tr>
      <w:tr>
        <w:tc>
          <w:tcPr>
            <w:tcW w:type="dxa" w:w="1361"/>
          </w:tcPr>
          <w:p>
            <w:r/>
            <w:r>
              <w:rPr>
                <w:rFonts w:ascii="微软雅黑" w:hAnsi="微软雅黑" w:eastAsia="微软雅黑"/>
                <w:sz w:val="19"/>
              </w:rPr>
              <w:t>辅助</w:t>
            </w:r>
          </w:p>
        </w:tc>
        <w:tc>
          <w:tcPr>
            <w:tcW w:type="dxa" w:w="3175"/>
          </w:tcPr>
          <w:p>
            <w:r/>
            <w:r>
              <w:rPr>
                <w:rFonts w:ascii="微软雅黑" w:hAnsi="微软雅黑" w:eastAsia="微软雅黑"/>
                <w:sz w:val="19"/>
              </w:rPr>
              <w:t>风险评分介于 0.55 至 0.75</w:t>
            </w:r>
          </w:p>
        </w:tc>
        <w:tc>
          <w:tcPr>
            <w:tcW w:type="dxa" w:w="2948"/>
          </w:tcPr>
          <w:p>
            <w:r/>
            <w:r>
              <w:rPr>
                <w:rFonts w:ascii="微软雅黑" w:hAnsi="微软雅黑" w:eastAsia="微软雅黑"/>
                <w:sz w:val="19"/>
              </w:rPr>
              <w:t>叠加增强显示,自动限制危险命令,建议侧推或减速</w:t>
            </w:r>
          </w:p>
        </w:tc>
        <w:tc>
          <w:tcPr>
            <w:tcW w:type="dxa" w:w="1304"/>
          </w:tcPr>
          <w:p>
            <w:r/>
            <w:r>
              <w:rPr>
                <w:rFonts w:ascii="微软雅黑" w:hAnsi="微软雅黑" w:eastAsia="微软雅黑"/>
                <w:sz w:val="19"/>
              </w:rPr>
              <w:t>是</w:t>
            </w:r>
          </w:p>
        </w:tc>
      </w:tr>
      <w:tr>
        <w:tc>
          <w:tcPr>
            <w:tcW w:type="dxa" w:w="1361"/>
          </w:tcPr>
          <w:p>
            <w:r/>
            <w:r>
              <w:rPr>
                <w:rFonts w:ascii="微软雅黑" w:hAnsi="微软雅黑" w:eastAsia="微软雅黑"/>
                <w:sz w:val="19"/>
              </w:rPr>
              <w:t>自动</w:t>
            </w:r>
          </w:p>
        </w:tc>
        <w:tc>
          <w:tcPr>
            <w:tcW w:type="dxa" w:w="3175"/>
          </w:tcPr>
          <w:p>
            <w:r/>
            <w:r>
              <w:rPr>
                <w:rFonts w:ascii="微软雅黑" w:hAnsi="微软雅黑" w:eastAsia="微软雅黑"/>
                <w:sz w:val="19"/>
              </w:rPr>
              <w:t>风险评分介于 0.75 至 0.90,且处于运行设计域内、关键传感器健康</w:t>
            </w:r>
          </w:p>
        </w:tc>
        <w:tc>
          <w:tcPr>
            <w:tcW w:type="dxa" w:w="2948"/>
          </w:tcPr>
          <w:p>
            <w:r/>
            <w:r>
              <w:rPr>
                <w:rFonts w:ascii="微软雅黑" w:hAnsi="微软雅黑" w:eastAsia="微软雅黑"/>
                <w:sz w:val="19"/>
              </w:rPr>
              <w:t>自动避碰、减速、保持航道、靠泊微调</w:t>
            </w:r>
          </w:p>
        </w:tc>
        <w:tc>
          <w:tcPr>
            <w:tcW w:type="dxa" w:w="1304"/>
          </w:tcPr>
          <w:p>
            <w:r/>
            <w:r>
              <w:rPr>
                <w:rFonts w:ascii="微软雅黑" w:hAnsi="微软雅黑" w:eastAsia="微软雅黑"/>
                <w:sz w:val="19"/>
              </w:rPr>
              <w:t>视场景</w:t>
            </w:r>
          </w:p>
        </w:tc>
      </w:tr>
      <w:tr>
        <w:tc>
          <w:tcPr>
            <w:tcW w:type="dxa" w:w="1361"/>
          </w:tcPr>
          <w:p>
            <w:r/>
            <w:r>
              <w:rPr>
                <w:rFonts w:ascii="微软雅黑" w:hAnsi="微软雅黑" w:eastAsia="微软雅黑"/>
                <w:sz w:val="19"/>
              </w:rPr>
              <w:t>远控</w:t>
            </w:r>
          </w:p>
        </w:tc>
        <w:tc>
          <w:tcPr>
            <w:tcW w:type="dxa" w:w="3175"/>
          </w:tcPr>
          <w:p>
            <w:r/>
            <w:r>
              <w:rPr>
                <w:rFonts w:ascii="微软雅黑" w:hAnsi="微软雅黑" w:eastAsia="微软雅黑"/>
                <w:sz w:val="19"/>
              </w:rPr>
              <w:t>风险评分不低于 0.90,或出现复合异常,且通信正常</w:t>
            </w:r>
          </w:p>
        </w:tc>
        <w:tc>
          <w:tcPr>
            <w:tcW w:type="dxa" w:w="2948"/>
          </w:tcPr>
          <w:p>
            <w:r/>
            <w:r>
              <w:rPr>
                <w:rFonts w:ascii="微软雅黑" w:hAnsi="微软雅黑" w:eastAsia="微软雅黑"/>
                <w:sz w:val="19"/>
              </w:rPr>
              <w:t>转入岸基远程接管,船端保留安全壳</w:t>
            </w:r>
          </w:p>
        </w:tc>
        <w:tc>
          <w:tcPr>
            <w:tcW w:type="dxa" w:w="1304"/>
          </w:tcPr>
          <w:p>
            <w:r/>
            <w:r>
              <w:rPr>
                <w:rFonts w:ascii="微软雅黑" w:hAnsi="微软雅黑" w:eastAsia="微软雅黑"/>
                <w:sz w:val="19"/>
              </w:rPr>
              <w:t>由岸基值守生效</w:t>
            </w:r>
          </w:p>
        </w:tc>
      </w:tr>
    </w:tbl>
    <w:p>
      <w:pPr>
        <w:spacing w:after="40"/>
      </w:pPr>
    </w:p>
    <w:p>
      <w:pPr>
        <w:jc w:val="both"/>
      </w:pPr>
      <w:r>
        <w:rPr>
          <w:rFonts w:ascii="微软雅黑" w:hAnsi="微软雅黑" w:eastAsia="微软雅黑"/>
        </w:rPr>
        <w:t>任何一条最终写入执行机构——舵机、主机、侧推——的指令,都必须依次通过三道关卡。第一道是权限仲裁,确认下达者是否有权、当前时刻是否允许、是否处于既定的运行设计域之内;第二道是安全包线,对指令进行限幅,并拦截越界转向等危险动作;第三道是故障切换,一旦出现超时或异常,立即降级到安全状态。涉及岸基远程写入时,还需额外满足通信网关放行、链路健康、双方控制租约有效,以及指令签名与白名单校验等条件。</w:t>
      </w:r>
    </w:p>
    <w:p>
      <w:pPr>
        <w:jc w:val="both"/>
      </w:pPr>
      <w:r>
        <w:rPr>
          <w:rFonts w:ascii="微软雅黑" w:hAnsi="微软雅黑" w:eastAsia="微软雅黑"/>
        </w:rPr>
        <w:t>系统的整体设计原则,是在出现问题时始终向安全一侧倾斜。通信中断时,船端转入本地自治并停止接受新的远程写入,同时切换备用链路,待恢复后重新建立控制租约;关键传感器失效时,自动调整多源融合的权重;一旦判定卫星定位受到欺骗或失锁,则切换到惯性导航,禁止高等级自动航行,并要求人工确认定位;当算法自身的不确定度过高时,系统会主动退回到仅提供建议的状态,把判断权交还给人。</w:t>
      </w:r>
    </w:p>
    <w:p>
      <w:pPr>
        <w:jc w:val="both"/>
      </w:pPr>
      <w:r>
        <w:rPr>
          <w:rFonts w:ascii="微软雅黑" w:hAnsi="微软雅黑" w:eastAsia="微软雅黑"/>
        </w:rPr>
        <w:t>在自动化程度的演进上,系统遵循循序渐进的路线,从决策支持起步,经由有人监督的自动驾驶,逐步走向特定运行设计域下的远程接管与高等级自主,而不追求一步到位的"全场景自主"。落到本项目,务实的路径是先实现风险预测与辅助操控,并在港区、重复航线等受限工况下验证自动靠泊与自动避碰,再逐步向更高自动化扩展。这一思路与国际海事组织关于海上自主水面船舶的分级演进方向是一致的。</w:t>
      </w:r>
    </w:p>
    <w:p>
      <w:pPr>
        <w:spacing w:before="320" w:after="120"/>
        <w:pBdr>
          <w:bottom w:val="single" w:sz="6" w:space="4" w:color="164E8C"/>
        </w:pBdr>
      </w:pPr>
      <w:r>
        <w:rPr>
          <w:rFonts w:ascii="微软雅黑" w:hAnsi="微软雅黑" w:eastAsia="微软雅黑"/>
          <w:b/>
          <w:color w:val="164E8C"/>
          <w:sz w:val="30"/>
        </w:rPr>
        <w:t>六、国产化与信创</w:t>
      </w:r>
    </w:p>
    <w:p>
      <w:pPr>
        <w:jc w:val="both"/>
      </w:pPr>
      <w:r>
        <w:rPr>
          <w:rFonts w:ascii="微软雅黑" w:hAnsi="微软雅黑" w:eastAsia="微软雅黑"/>
        </w:rPr>
        <w:t>面向央企、监管以及涉密场景,系统从底层起就按照国产化与安全可控的路线设计,支持本地化部署、内网运行、离线推理与数据不外传,核心运行数据、运维数据与控制反馈数据均保留在本地。在算力层面,核心算力的国产化已经落地——边缘主机实配纯血国产的灵汐类脑芯片,提供 INT8 48 TOPS、FP16 24 TFLOPS 的推理能力,而非停留在纸面的承诺。</w:t>
      </w:r>
    </w:p>
    <w:p>
      <w:pPr>
        <w:jc w:val="both"/>
      </w:pPr>
      <w:r>
        <w:rPr>
          <w:rFonts w:ascii="微软雅黑" w:hAnsi="微软雅黑" w:eastAsia="微软雅黑"/>
        </w:rPr>
        <w:t>整体上,系统构建了边缘、本地服务器与 AI 推理三级算力:边缘侧负责多协议接入、数据缓存、边缘解析与轻量规则判断;本地服务器承担数据服务、历史存储、监管与多屏展示;AI 推理侧支撑异常识别、声学分析、虚拟感知与知识库问答。数据栈采用关系型数据库、时序数据库、向量数据库与对象存储的组合,与底座同栈,信创路线天然成立。涉及 AI 分析、知识库问答与故障研判的能力,优先采用本地私有化的大模型与检索增强方式,输出结果可追溯、可由人工确认,既满足智能化需求,又守住了数据安全的底线。</w:t>
      </w:r>
    </w:p>
    <w:p>
      <w:pPr>
        <w:spacing w:before="320" w:after="120"/>
        <w:pBdr>
          <w:bottom w:val="single" w:sz="6" w:space="4" w:color="164E8C"/>
        </w:pBdr>
      </w:pPr>
      <w:r>
        <w:rPr>
          <w:rFonts w:ascii="微软雅黑" w:hAnsi="微软雅黑" w:eastAsia="微软雅黑"/>
          <w:b/>
          <w:color w:val="164E8C"/>
          <w:sz w:val="30"/>
        </w:rPr>
        <w:t>七、差异化优势</w:t>
      </w:r>
    </w:p>
    <w:p>
      <w:pPr>
        <w:jc w:val="both"/>
      </w:pPr>
      <w:r>
        <w:rPr>
          <w:rFonts w:ascii="微软雅黑" w:hAnsi="微软雅黑" w:eastAsia="微软雅黑"/>
        </w:rPr>
        <w:t>与传统的多厂家分散集成相比,本系统的差异并不止于"功能更多",而体现在交付模式、扩展逻辑、AI 形态与可控可信四个维度上的根本不同。</w:t>
      </w:r>
    </w:p>
    <w:tbl>
      <w:tblPr>
        <w:tblStyle w:val="LightGrid-Accent1"/>
        <w:tblW w:type="auto" w:w="0"/>
        <w:jc w:val="center"/>
        <w:tblLook w:firstColumn="1" w:firstRow="1" w:lastColumn="0" w:lastRow="0" w:noHBand="0" w:noVBand="1" w:val="04A0"/>
      </w:tblPr>
      <w:tblGrid>
        <w:gridCol w:w="3097"/>
        <w:gridCol w:w="3097"/>
        <w:gridCol w:w="3097"/>
      </w:tblGrid>
      <w:tr>
        <w:tc>
          <w:tcPr>
            <w:tcW w:type="dxa" w:w="1474"/>
            <w:shd w:val="clear" w:color="auto" w:fill="164E8C"/>
          </w:tcPr>
          <w:p>
            <w:r/>
            <w:r>
              <w:rPr>
                <w:rFonts w:ascii="微软雅黑" w:hAnsi="微软雅黑" w:eastAsia="微软雅黑"/>
                <w:b/>
                <w:color w:val="FFFFFF"/>
                <w:sz w:val="20"/>
              </w:rPr>
              <w:t>维度</w:t>
            </w:r>
          </w:p>
        </w:tc>
        <w:tc>
          <w:tcPr>
            <w:tcW w:type="dxa" w:w="3969"/>
            <w:shd w:val="clear" w:color="auto" w:fill="164E8C"/>
          </w:tcPr>
          <w:p>
            <w:r/>
            <w:r>
              <w:rPr>
                <w:rFonts w:ascii="微软雅黑" w:hAnsi="微软雅黑" w:eastAsia="微软雅黑"/>
                <w:b/>
                <w:color w:val="FFFFFF"/>
                <w:sz w:val="20"/>
              </w:rPr>
              <w:t>智能船机交互系统</w:t>
            </w:r>
          </w:p>
        </w:tc>
        <w:tc>
          <w:tcPr>
            <w:tcW w:type="dxa" w:w="3345"/>
            <w:shd w:val="clear" w:color="auto" w:fill="164E8C"/>
          </w:tcPr>
          <w:p>
            <w:r/>
            <w:r>
              <w:rPr>
                <w:rFonts w:ascii="微软雅黑" w:hAnsi="微软雅黑" w:eastAsia="微软雅黑"/>
                <w:b/>
                <w:color w:val="FFFFFF"/>
                <w:sz w:val="20"/>
              </w:rPr>
              <w:t>传统集成方案</w:t>
            </w:r>
          </w:p>
        </w:tc>
      </w:tr>
      <w:tr>
        <w:tc>
          <w:tcPr>
            <w:tcW w:type="dxa" w:w="1474"/>
          </w:tcPr>
          <w:p>
            <w:r/>
            <w:r>
              <w:rPr>
                <w:rFonts w:ascii="微软雅黑" w:hAnsi="微软雅黑" w:eastAsia="微软雅黑"/>
                <w:sz w:val="19"/>
              </w:rPr>
              <w:t>交付模式</w:t>
            </w:r>
          </w:p>
        </w:tc>
        <w:tc>
          <w:tcPr>
            <w:tcW w:type="dxa" w:w="3969"/>
          </w:tcPr>
          <w:p>
            <w:r/>
            <w:r>
              <w:rPr>
                <w:rFonts w:ascii="微软雅黑" w:hAnsi="微软雅黑" w:eastAsia="微软雅黑"/>
                <w:sz w:val="19"/>
              </w:rPr>
              <w:t>软硬件一体,由一家整合交付,责任单一</w:t>
            </w:r>
          </w:p>
        </w:tc>
        <w:tc>
          <w:tcPr>
            <w:tcW w:type="dxa" w:w="3345"/>
          </w:tcPr>
          <w:p>
            <w:r/>
            <w:r>
              <w:rPr>
                <w:rFonts w:ascii="微软雅黑" w:hAnsi="微软雅黑" w:eastAsia="微软雅黑"/>
                <w:sz w:val="19"/>
              </w:rPr>
              <w:t>软硬件碎片,多家拼装,责任分散</w:t>
            </w:r>
          </w:p>
        </w:tc>
      </w:tr>
      <w:tr>
        <w:tc>
          <w:tcPr>
            <w:tcW w:type="dxa" w:w="1474"/>
          </w:tcPr>
          <w:p>
            <w:r/>
            <w:r>
              <w:rPr>
                <w:rFonts w:ascii="微软雅黑" w:hAnsi="微软雅黑" w:eastAsia="微软雅黑"/>
                <w:sz w:val="19"/>
              </w:rPr>
              <w:t>扩展逻辑</w:t>
            </w:r>
          </w:p>
        </w:tc>
        <w:tc>
          <w:tcPr>
            <w:tcW w:type="dxa" w:w="3969"/>
          </w:tcPr>
          <w:p>
            <w:r/>
            <w:r>
              <w:rPr>
                <w:rFonts w:ascii="微软雅黑" w:hAnsi="微软雅黑" w:eastAsia="微软雅黑"/>
                <w:sz w:val="19"/>
              </w:rPr>
              <w:t>站在不变底座的三套契约之上,低成本新增设备与场景</w:t>
            </w:r>
          </w:p>
        </w:tc>
        <w:tc>
          <w:tcPr>
            <w:tcW w:type="dxa" w:w="3345"/>
          </w:tcPr>
          <w:p>
            <w:r/>
            <w:r>
              <w:rPr>
                <w:rFonts w:ascii="微软雅黑" w:hAnsi="微软雅黑" w:eastAsia="微软雅黑"/>
                <w:sz w:val="19"/>
              </w:rPr>
              <w:t>一船一造,重复改造,牵一发而动全身</w:t>
            </w:r>
          </w:p>
        </w:tc>
      </w:tr>
      <w:tr>
        <w:tc>
          <w:tcPr>
            <w:tcW w:type="dxa" w:w="1474"/>
          </w:tcPr>
          <w:p>
            <w:r/>
            <w:r>
              <w:rPr>
                <w:rFonts w:ascii="微软雅黑" w:hAnsi="微软雅黑" w:eastAsia="微软雅黑"/>
                <w:sz w:val="19"/>
              </w:rPr>
              <w:t>AI 形态</w:t>
            </w:r>
          </w:p>
        </w:tc>
        <w:tc>
          <w:tcPr>
            <w:tcW w:type="dxa" w:w="3969"/>
          </w:tcPr>
          <w:p>
            <w:r/>
            <w:r>
              <w:rPr>
                <w:rFonts w:ascii="微软雅黑" w:hAnsi="微软雅黑" w:eastAsia="微软雅黑"/>
                <w:sz w:val="19"/>
              </w:rPr>
              <w:t>AI 原生,以工况上下文驱动跨设备融合诊断,且边界清晰</w:t>
            </w:r>
          </w:p>
        </w:tc>
        <w:tc>
          <w:tcPr>
            <w:tcW w:type="dxa" w:w="3345"/>
          </w:tcPr>
          <w:p>
            <w:r/>
            <w:r>
              <w:rPr>
                <w:rFonts w:ascii="微软雅黑" w:hAnsi="微软雅黑" w:eastAsia="微软雅黑"/>
                <w:sz w:val="19"/>
              </w:rPr>
              <w:t>传统人机界面,单设备看数据,AI 事后挂载</w:t>
            </w:r>
          </w:p>
        </w:tc>
      </w:tr>
      <w:tr>
        <w:tc>
          <w:tcPr>
            <w:tcW w:type="dxa" w:w="1474"/>
          </w:tcPr>
          <w:p>
            <w:r/>
            <w:r>
              <w:rPr>
                <w:rFonts w:ascii="微软雅黑" w:hAnsi="微软雅黑" w:eastAsia="微软雅黑"/>
                <w:sz w:val="19"/>
              </w:rPr>
              <w:t>可控可信</w:t>
            </w:r>
          </w:p>
        </w:tc>
        <w:tc>
          <w:tcPr>
            <w:tcW w:type="dxa" w:w="3969"/>
          </w:tcPr>
          <w:p>
            <w:r/>
            <w:r>
              <w:rPr>
                <w:rFonts w:ascii="微软雅黑" w:hAnsi="微软雅黑" w:eastAsia="微软雅黑"/>
                <w:sz w:val="19"/>
              </w:rPr>
              <w:t>纯血国产类脑芯片,本地化部署,数据不外传</w:t>
            </w:r>
          </w:p>
        </w:tc>
        <w:tc>
          <w:tcPr>
            <w:tcW w:type="dxa" w:w="3345"/>
          </w:tcPr>
          <w:p>
            <w:r/>
            <w:r>
              <w:rPr>
                <w:rFonts w:ascii="微软雅黑" w:hAnsi="微软雅黑" w:eastAsia="微软雅黑"/>
                <w:sz w:val="19"/>
              </w:rPr>
              <w:t>依赖国外芯片与生态,存在数据外传顾虑</w:t>
            </w:r>
          </w:p>
        </w:tc>
      </w:tr>
    </w:tbl>
    <w:p>
      <w:pPr>
        <w:spacing w:after="40"/>
      </w:pPr>
    </w:p>
    <w:p>
      <w:pPr>
        <w:jc w:val="both"/>
      </w:pPr>
      <w:r>
        <w:rPr>
          <w:rFonts w:ascii="微软雅黑" w:hAnsi="微软雅黑" w:eastAsia="微软雅黑"/>
        </w:rPr>
        <w:t>在这些之外,还有三点值得强调。其一,负责任的 AI 边界本身就是一种竞争力:对监管机构与安全责任主体而言,一套"看得清、却不越界,关键动作始终由人确认"的系统,反而更值得信赖。其二,人机交互是公司的长期积累——智能座舱与人机交互的设计能力被引入到船舶领域,使本系统在界面、操作与体验上具备天然的功底,这是单纯做设备集成的厂商难以追赶的。其三,系统按监管规则原生设计,而非事后适配,这为后续在实船基础上推进船级社认证创造了有利条件。</w:t>
      </w:r>
    </w:p>
    <w:p>
      <w:pPr>
        <w:spacing w:before="320" w:after="120"/>
        <w:pBdr>
          <w:bottom w:val="single" w:sz="6" w:space="4" w:color="164E8C"/>
        </w:pBdr>
      </w:pPr>
      <w:r>
        <w:rPr>
          <w:rFonts w:ascii="微软雅黑" w:hAnsi="微软雅黑" w:eastAsia="微软雅黑"/>
          <w:b/>
          <w:color w:val="164E8C"/>
          <w:sz w:val="30"/>
        </w:rPr>
        <w:t>八、实施路线与交付</w:t>
      </w:r>
    </w:p>
    <w:p>
      <w:pPr>
        <w:jc w:val="both"/>
      </w:pPr>
      <w:r>
        <w:rPr>
          <w:rFonts w:ascii="微软雅黑" w:hAnsi="微软雅黑" w:eastAsia="微软雅黑"/>
        </w:rPr>
        <w:t>项目按照"先打通、再闭环、后增强"的思路分三步推进,每一步都有明确的交付内容与验收口径,且步步之间可独立验收。</w:t>
      </w:r>
    </w:p>
    <w:tbl>
      <w:tblPr>
        <w:tblStyle w:val="LightGrid-Accent1"/>
        <w:tblW w:type="auto" w:w="0"/>
        <w:jc w:val="center"/>
        <w:tblLook w:firstColumn="1" w:firstRow="1" w:lastColumn="0" w:lastRow="0" w:noHBand="0" w:noVBand="1" w:val="04A0"/>
      </w:tblPr>
      <w:tblGrid>
        <w:gridCol w:w="3097"/>
        <w:gridCol w:w="3097"/>
        <w:gridCol w:w="3097"/>
      </w:tblGrid>
      <w:tr>
        <w:tc>
          <w:tcPr>
            <w:tcW w:type="dxa" w:w="1134"/>
            <w:shd w:val="clear" w:color="auto" w:fill="164E8C"/>
          </w:tcPr>
          <w:p>
            <w:r/>
            <w:r>
              <w:rPr>
                <w:rFonts w:ascii="微软雅黑" w:hAnsi="微软雅黑" w:eastAsia="微软雅黑"/>
                <w:b/>
                <w:color w:val="FFFFFF"/>
                <w:sz w:val="20"/>
              </w:rPr>
              <w:t>阶段</w:t>
            </w:r>
          </w:p>
        </w:tc>
        <w:tc>
          <w:tcPr>
            <w:tcW w:type="dxa" w:w="4819"/>
            <w:shd w:val="clear" w:color="auto" w:fill="164E8C"/>
          </w:tcPr>
          <w:p>
            <w:r/>
            <w:r>
              <w:rPr>
                <w:rFonts w:ascii="微软雅黑" w:hAnsi="微软雅黑" w:eastAsia="微软雅黑"/>
                <w:b/>
                <w:color w:val="FFFFFF"/>
                <w:sz w:val="20"/>
              </w:rPr>
              <w:t>实施内容</w:t>
            </w:r>
          </w:p>
        </w:tc>
        <w:tc>
          <w:tcPr>
            <w:tcW w:type="dxa" w:w="2835"/>
            <w:shd w:val="clear" w:color="auto" w:fill="164E8C"/>
          </w:tcPr>
          <w:p>
            <w:r/>
            <w:r>
              <w:rPr>
                <w:rFonts w:ascii="微软雅黑" w:hAnsi="微软雅黑" w:eastAsia="微软雅黑"/>
                <w:b/>
                <w:color w:val="FFFFFF"/>
                <w:sz w:val="20"/>
              </w:rPr>
              <w:t>验收口径</w:t>
            </w:r>
          </w:p>
        </w:tc>
      </w:tr>
      <w:tr>
        <w:tc>
          <w:tcPr>
            <w:tcW w:type="dxa" w:w="1134"/>
          </w:tcPr>
          <w:p>
            <w:r/>
            <w:r>
              <w:rPr>
                <w:rFonts w:ascii="微软雅黑" w:hAnsi="微软雅黑" w:eastAsia="微软雅黑"/>
                <w:sz w:val="19"/>
              </w:rPr>
              <w:t>第一步</w:t>
            </w:r>
          </w:p>
        </w:tc>
        <w:tc>
          <w:tcPr>
            <w:tcW w:type="dxa" w:w="4819"/>
          </w:tcPr>
          <w:p>
            <w:r/>
            <w:r>
              <w:rPr>
                <w:rFonts w:ascii="微软雅黑" w:hAnsi="微软雅黑" w:eastAsia="微软雅黑"/>
                <w:sz w:val="19"/>
              </w:rPr>
              <w:t>在目标船舶完成边缘主机与基础环境部署,实现已知设备的接入、采集、解析与落库,前端可查询实时与历史数据</w:t>
            </w:r>
          </w:p>
        </w:tc>
        <w:tc>
          <w:tcPr>
            <w:tcW w:type="dxa" w:w="2835"/>
          </w:tcPr>
          <w:p>
            <w:r/>
            <w:r>
              <w:rPr>
                <w:rFonts w:ascii="微软雅黑" w:hAnsi="微软雅黑" w:eastAsia="微软雅黑"/>
                <w:sz w:val="19"/>
              </w:rPr>
              <w:t>基础链路稳定运行不少于 30 天,数据联通率高于 90%</w:t>
            </w:r>
          </w:p>
        </w:tc>
      </w:tr>
      <w:tr>
        <w:tc>
          <w:tcPr>
            <w:tcW w:type="dxa" w:w="1134"/>
          </w:tcPr>
          <w:p>
            <w:r/>
            <w:r>
              <w:rPr>
                <w:rFonts w:ascii="微软雅黑" w:hAnsi="微软雅黑" w:eastAsia="微软雅黑"/>
                <w:sz w:val="19"/>
              </w:rPr>
              <w:t>第二步</w:t>
            </w:r>
          </w:p>
        </w:tc>
        <w:tc>
          <w:tcPr>
            <w:tcW w:type="dxa" w:w="4819"/>
          </w:tcPr>
          <w:p>
            <w:r/>
            <w:r>
              <w:rPr>
                <w:rFonts w:ascii="微软雅黑" w:hAnsi="微软雅黑" w:eastAsia="微软雅黑"/>
                <w:sz w:val="19"/>
              </w:rPr>
              <w:t>完善设备台账、端口绑定、实时监控、告警分级与确认,形成可用的监管与运维入口,并按需对接岸端</w:t>
            </w:r>
          </w:p>
        </w:tc>
        <w:tc>
          <w:tcPr>
            <w:tcW w:type="dxa" w:w="2835"/>
          </w:tcPr>
          <w:p>
            <w:r/>
            <w:r>
              <w:rPr>
                <w:rFonts w:ascii="微软雅黑" w:hAnsi="微软雅黑" w:eastAsia="微软雅黑"/>
                <w:sz w:val="19"/>
              </w:rPr>
              <w:t>客户可日常使用的监控与运维入口,满足相关报建与接口要求</w:t>
            </w:r>
          </w:p>
        </w:tc>
      </w:tr>
      <w:tr>
        <w:tc>
          <w:tcPr>
            <w:tcW w:type="dxa" w:w="1134"/>
          </w:tcPr>
          <w:p>
            <w:r/>
            <w:r>
              <w:rPr>
                <w:rFonts w:ascii="微软雅黑" w:hAnsi="微软雅黑" w:eastAsia="微软雅黑"/>
                <w:sz w:val="19"/>
              </w:rPr>
              <w:t>第三步</w:t>
            </w:r>
          </w:p>
        </w:tc>
        <w:tc>
          <w:tcPr>
            <w:tcW w:type="dxa" w:w="4819"/>
          </w:tcPr>
          <w:p>
            <w:r/>
            <w:r>
              <w:rPr>
                <w:rFonts w:ascii="微软雅黑" w:hAnsi="微软雅黑" w:eastAsia="微软雅黑"/>
                <w:sz w:val="19"/>
              </w:rPr>
              <w:t>推进全船软硬件一体、健康评分与 AI 诊断,扩展遥控与船岸协同,并形成标准化复制能力</w:t>
            </w:r>
          </w:p>
        </w:tc>
        <w:tc>
          <w:tcPr>
            <w:tcW w:type="dxa" w:w="2835"/>
          </w:tcPr>
          <w:p>
            <w:r/>
            <w:r>
              <w:rPr>
                <w:rFonts w:ascii="微软雅黑" w:hAnsi="微软雅黑" w:eastAsia="微软雅黑"/>
                <w:sz w:val="19"/>
              </w:rPr>
              <w:t>完成标准化复制方案,具备向同型船推广与岸基中心联调的条件</w:t>
            </w:r>
          </w:p>
        </w:tc>
      </w:tr>
    </w:tbl>
    <w:p>
      <w:pPr>
        <w:spacing w:after="40"/>
      </w:pPr>
    </w:p>
    <w:p>
      <w:pPr>
        <w:jc w:val="both"/>
      </w:pPr>
      <w:r>
        <w:rPr>
          <w:rFonts w:ascii="微软雅黑" w:hAnsi="微软雅黑" w:eastAsia="微软雅黑"/>
        </w:rPr>
        <w:t>为降低决策风险,各阶段之间设有清晰的退出机制:若某一步的验收结果不满意,可随时协商调整,而不影响已交付模块的使用。这种小步快跑的方式,既让客户在早期就能看到实际效果,也把一次性大额投入的风险分散到了可控的节奏中。</w:t>
      </w:r>
    </w:p>
    <w:p>
      <w:pPr>
        <w:jc w:val="both"/>
      </w:pPr>
      <w:r>
        <w:rPr>
          <w:rFonts w:ascii="微软雅黑" w:hAnsi="微软雅黑" w:eastAsia="微软雅黑"/>
        </w:rPr>
        <w:t>整个实施以实船应用为牵引。系统在目标营运船舶上完成安装、联调与不少于 30 天的稳定运行后,即具备了真实、连续的运行数据与现场验证记录;在此基础上,按船级社相关规范推进 CCS 认证,使产品在实船验证与规范认证两条线上同步成熟。对船东而言,这意味着所采用的不是一套停留在实验室的方案,而是一套经过实船检验、并正走向规范认证的系统。</w:t>
      </w:r>
    </w:p>
    <w:p>
      <w:pPr>
        <w:spacing w:before="320" w:after="120"/>
        <w:pBdr>
          <w:bottom w:val="single" w:sz="6" w:space="4" w:color="164E8C"/>
        </w:pBdr>
      </w:pPr>
      <w:r>
        <w:rPr>
          <w:rFonts w:ascii="微软雅黑" w:hAnsi="微软雅黑" w:eastAsia="微软雅黑"/>
          <w:b/>
          <w:color w:val="164E8C"/>
          <w:sz w:val="30"/>
        </w:rPr>
        <w:t>九、相关材料</w:t>
      </w:r>
    </w:p>
    <w:p>
      <w:pPr>
        <w:jc w:val="both"/>
      </w:pPr>
      <w:r>
        <w:rPr>
          <w:rFonts w:ascii="微软雅黑" w:hAnsi="微软雅黑" w:eastAsia="微软雅黑"/>
        </w:rPr>
        <w:t>与本方案配套,另有一份《船舶态势感知与远程控制落地技术方案》单独提供,系统阐述了以视觉识别为核心,融合雷达、激光雷达、AIS、卫星定位与惯导、气象与海流等多源数据的感知体系,以及在此之上的时间同步与总线设计、多层数据融合、风险评分模型、典型风险场景处置与自动驾驶的分级演进。本方案第五节所述的控制与 AI 责任边界,与该材料中的分级控制方案同源、口径一致。如需开展更深入的专项评审,可单独提供该材料。</w:t>
      </w:r>
    </w:p>
    <w:p>
      <w:pPr>
        <w:spacing w:before="280"/>
        <w:jc w:val="center"/>
      </w:pPr>
      <w:r>
        <w:rPr>
          <w:rFonts w:ascii="微软雅黑" w:hAnsi="微软雅黑" w:eastAsia="微软雅黑"/>
          <w:color w:val="666666"/>
          <w:sz w:val="17"/>
        </w:rPr>
        <w:t>本文为产品级技术方案,具体参数与配置以合同约定及现场复勘为准。</w:t>
      </w:r>
    </w:p>
    <w:sectPr w:rsidR="00FC693F" w:rsidRPr="0006063C" w:rsidSect="00034616">
      <w:pgSz w:w="12240" w:h="15840"/>
      <w:pgMar w:top="1361" w:right="1474" w:bottom="124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36" w:lineRule="auto"/>
    </w:pPr>
    <w:rPr>
      <w:rFonts w:ascii="微软雅黑" w:hAnsi="微软雅黑" w:eastAsia="微软雅黑"/>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