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jc w:val="center"/>
      </w:pPr>
      <w:r>
        <w:rPr>
          <w:rFonts w:ascii="微软雅黑" w:hAnsi="微软雅黑" w:eastAsia="微软雅黑"/>
          <w:b/>
          <w:color w:val="164E8C"/>
          <w:sz w:val="56"/>
        </w:rPr>
        <w:t>智能船机交互系统</w:t>
      </w:r>
    </w:p>
    <w:p>
      <w:pPr>
        <w:jc w:val="center"/>
      </w:pPr>
      <w:r>
        <w:rPr>
          <w:rFonts w:ascii="微软雅黑" w:hAnsi="微软雅黑" w:eastAsia="微软雅黑"/>
          <w:color w:val="0B7A6E"/>
          <w:sz w:val="32"/>
        </w:rPr>
        <w:t>核心产品技术方案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2"/>
        </w:rPr>
        <w:t>软硬件一体的船端人机协同驾控中枢 · 看 · 问 · 操 · 控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AF0F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客户/专家版 V1.0</w:t>
            </w:r>
          </w:p>
        </w:tc>
      </w:tr>
      <w:tr>
        <w:tc>
          <w:tcPr>
            <w:tcW w:type="dxa" w:w="2268"/>
            <w:shd w:val="clear" w:color="auto" w:fill="EAF0F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适用读者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技术评审 / 行业专家 / 信息与安全评审</w:t>
            </w:r>
          </w:p>
        </w:tc>
      </w:tr>
      <w:tr>
        <w:tc>
          <w:tcPr>
            <w:tcW w:type="dxa" w:w="2268"/>
            <w:shd w:val="clear" w:color="auto" w:fill="EAF0F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文档性质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产品级技术方案</w:t>
            </w:r>
          </w:p>
        </w:tc>
      </w:tr>
      <w:tr>
        <w:tc>
          <w:tcPr>
            <w:tcW w:type="dxa" w:w="2268"/>
            <w:shd w:val="clear" w:color="auto" w:fill="EAF0F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编制日期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 年 6 月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一、产品概述与定位</w:t>
      </w:r>
    </w:p>
    <w:p>
      <w:r>
        <w:rPr>
          <w:rFonts w:ascii="微软雅黑" w:hAnsi="微软雅黑" w:eastAsia="微软雅黑"/>
        </w:rPr>
        <w:t>船舶智能化的真正瓶颈不在“单船自动化”,而在底层数据割裂、协议各异、系统成孤岛——结果是驾驶舱体验割裂、安全管控弱、船岸两张皮,且无法快速复制、无法持续沉淀数据资产。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智能船机交互系统</w:t>
      </w:r>
      <w:r>
        <w:rPr>
          <w:rFonts w:ascii="微软雅黑" w:hAnsi="微软雅黑" w:eastAsia="微软雅黑"/>
        </w:rPr>
        <w:t>是软硬件一体的船端人机协同驾控中枢:在一套不变的 AI-IoT 数据底座之上,把全船设备数据变成船员能</w:t>
      </w:r>
      <w:r>
        <w:rPr>
          <w:rFonts w:ascii="微软雅黑" w:hAnsi="微软雅黑" w:eastAsia="微软雅黑"/>
          <w:b/>
        </w:rPr>
        <w:t>看、能问、能操、能控</w:t>
      </w:r>
      <w:r>
        <w:rPr>
          <w:rFonts w:ascii="微软雅黑" w:hAnsi="微软雅黑" w:eastAsia="微软雅黑"/>
        </w:rPr>
        <w:t>的统一体验,并向岸端延伸为远控、监管与培训能力。底座负责“设备→数据”的标准化接入,产品负责“数据→人机驾控”的体验与操控,两层各自演进、互不绑死。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4E8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-50%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DE6F2"/>
                <w:sz w:val="19"/>
              </w:rPr>
              <w:t>管理成本</w:t>
            </w:r>
          </w:p>
        </w:tc>
        <w:tc>
          <w:tcPr>
            <w:tcW w:type="dxa" w:w="2160"/>
            <w:shd w:val="clear" w:color="auto" w:fill="164E8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-60%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DE6F2"/>
                <w:sz w:val="19"/>
              </w:rPr>
              <w:t>交付时间</w:t>
            </w:r>
          </w:p>
        </w:tc>
        <w:tc>
          <w:tcPr>
            <w:tcW w:type="dxa" w:w="2160"/>
            <w:shd w:val="clear" w:color="auto" w:fill="164E8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-55%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DE6F2"/>
                <w:sz w:val="19"/>
              </w:rPr>
              <w:t>维护成本</w:t>
            </w:r>
          </w:p>
        </w:tc>
        <w:tc>
          <w:tcPr>
            <w:tcW w:type="dxa" w:w="2160"/>
            <w:shd w:val="clear" w:color="auto" w:fill="164E8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50+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DE6F2"/>
                <w:sz w:val="19"/>
              </w:rPr>
              <w:t>设备接入/终端</w:t>
            </w:r>
          </w:p>
        </w:tc>
      </w:tr>
    </w:tbl>
    <w:p>
      <w:pPr>
        <w:spacing w:after="160"/>
        <w:jc w:val="center"/>
      </w:pPr>
      <w:r>
        <w:rPr>
          <w:rFonts w:ascii="微软雅黑" w:hAnsi="微软雅黑" w:eastAsia="微软雅黑"/>
          <w:color w:val="555555"/>
          <w:sz w:val="17"/>
        </w:rPr>
        <w:t>产品自有量化成效(测算口径可备质询)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二、软硬件一体构成(硬件)</w:t>
      </w:r>
    </w:p>
    <w:p>
      <w:r>
        <w:rPr>
          <w:rFonts w:ascii="微软雅黑" w:hAnsi="微软雅黑" w:eastAsia="微软雅黑"/>
        </w:rPr>
        <w:t xml:space="preserve">产品以一台 </w:t>
      </w:r>
      <w:r>
        <w:rPr>
          <w:rFonts w:ascii="微软雅黑" w:hAnsi="微软雅黑" w:eastAsia="微软雅黑"/>
          <w:b/>
        </w:rPr>
        <w:t>AI+IoT 智能体 V2.0</w:t>
      </w:r>
      <w:r>
        <w:rPr>
          <w:rFonts w:ascii="微软雅黑" w:hAnsi="微软雅黑" w:eastAsia="微软雅黑"/>
        </w:rPr>
        <w:t xml:space="preserve"> 边缘主机为心脏,一台终端汇聚全船设备,纯血国产、工业级、面向航运环境设计。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val="clear" w:color="auto" w:fill="EAF0F8"/>
          </w:tcPr>
          <w:p>
            <w:pPr>
              <w:spacing w:before="440" w:after="440"/>
              <w:jc w:val="center"/>
            </w:pPr>
            <w:r>
              <w:rPr>
                <w:rFonts w:ascii="微软雅黑" w:hAnsi="微软雅黑" w:eastAsia="微软雅黑"/>
                <w:i/>
                <w:color w:val="555555"/>
                <w:sz w:val="19"/>
              </w:rPr>
              <w:t>〔此处插入图片〕  请插入产品外观与核心亮点montage(含 -50%/-60%/-55% 三指标条)</w:t>
            </w:r>
          </w:p>
        </w:tc>
      </w:tr>
    </w:tbl>
    <w:p>
      <w:pPr>
        <w:spacing w:after="160"/>
        <w:jc w:val="center"/>
      </w:pPr>
      <w:r>
        <w:rPr>
          <w:rFonts w:ascii="微软雅黑" w:hAnsi="微软雅黑" w:eastAsia="微软雅黑"/>
          <w:color w:val="555555"/>
          <w:sz w:val="18"/>
        </w:rPr>
        <w:t>图 1 · AI+IoT 智能体 V2.0:纯血国产灵汐芯片 / 全新机箱 / 多协议适配 / 设备覆盖(满足 AIS、定位、罗经、雷达、推进等 50+ 设备接入)</w:t>
      </w:r>
    </w:p>
    <w:p>
      <w:r>
        <w:rPr>
          <w:rFonts w:ascii="微软雅黑" w:hAnsi="微软雅黑" w:eastAsia="微软雅黑"/>
        </w:rPr>
        <w:t>边缘主机硬件规格(可对外):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7087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类脑算力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9"/>
              </w:rPr>
              <w:t>INT8 48 TOPS / FP16 24 TFLOPS(类脑架构,30MB SRAM)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 / 内存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9"/>
              </w:rPr>
              <w:t>国产 8 核 SoC + 8GB LPDDR4x(ECC)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工业三防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9"/>
              </w:rPr>
              <w:t>工作温度 -20~+60℃ · 防护 IP65 · 三防(防水/防尘/防静电)· 被动散热 · 9-36VDC · 45W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注:上表为边缘主机芯片规格;产品对外接口(串口/网口/CAN/485/IO、50+ 设备)以产品规格为准,不等同芯片原始接口清单。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三、系统总体技术架构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五层消息驱动管道</w:t>
      </w:r>
      <w:r>
        <w:rPr>
          <w:rFonts w:ascii="微软雅黑" w:hAnsi="微软雅黑" w:eastAsia="微软雅黑"/>
        </w:rPr>
        <w:t>:现场设备/PLC/串口服务器/CAN → 采集端(协议路由+解析采集+AI 辅助识别)→ MQTT 消息总线(脊椎)→ 服务端业务中台 → 关系库/时序库/缓存 → 前端大屏/机舱屏/移动工作台/AI → 日志聚合与可视化运维。</w:t>
      </w:r>
    </w:p>
    <w:p>
      <w:r>
        <w:rPr>
          <w:rFonts w:ascii="微软雅黑" w:hAnsi="微软雅黑" w:eastAsia="微软雅黑"/>
        </w:rPr>
        <w:t>核心抉择是</w:t>
      </w:r>
      <w:r>
        <w:rPr>
          <w:rFonts w:ascii="微软雅黑" w:hAnsi="微软雅黑" w:eastAsia="微软雅黑"/>
          <w:b/>
        </w:rPr>
        <w:t>消息驱动而非调用驱动</w:t>
      </w:r>
      <w:r>
        <w:rPr>
          <w:rFonts w:ascii="微软雅黑" w:hAnsi="微软雅黑" w:eastAsia="微软雅黑"/>
        </w:rPr>
        <w:t>:采集与业务经 MQTT 解耦,多业务可订阅同一数据源、采集端与服务端可独立部署与升级、扩展代价低(新增消费方=新增订阅者)。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三套不变契约</w:t>
      </w:r>
      <w:r>
        <w:rPr>
          <w:rFonts w:ascii="微软雅黑" w:hAnsi="微软雅黑" w:eastAsia="微软雅黑"/>
        </w:rPr>
        <w:t>(“底座不变”的精确边界,扩展只发生在契约内部):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契约</w:t>
            </w:r>
          </w:p>
        </w:tc>
        <w:tc>
          <w:tcPr>
            <w:tcW w:type="dxa" w:w="6803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消息总线 Topic 命名空间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标准设备数据 / 状态 / 异常 / 动态端口绑定 / 未知设备识别四段式(请求·待确认·进度·确认)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核心数据表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设备台账 / 告警历史 / 动态注册(字段元信息+端口映射)/ 原始报文留痕 / 健康评分规则与历史 / 端口模板 / 位置与系统分类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对外接口形态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REST(增删改查+落库)· WebSocket(实时推送)· SSE(AI 流式)· 在线接口文档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两条设备接入业务流</w:t>
      </w:r>
      <w:r>
        <w:rPr>
          <w:rFonts w:ascii="微软雅黑" w:hAnsi="微软雅黑" w:eastAsia="微软雅黑"/>
        </w:rPr>
        <w:t>:已知设备报文特征命中模板→自动绑定(不依赖 AI);未知设备采样→AI 辅助识别→生成候选配置→</w:t>
      </w:r>
      <w:r>
        <w:rPr>
          <w:rFonts w:ascii="微软雅黑" w:hAnsi="微软雅黑" w:eastAsia="微软雅黑"/>
          <w:b/>
        </w:rPr>
        <w:t>人工确认</w:t>
      </w:r>
      <w:r>
        <w:rPr>
          <w:rFonts w:ascii="微软雅黑" w:hAnsi="微软雅黑" w:eastAsia="微软雅黑"/>
        </w:rPr>
        <w:t>→热重载绑定→进入标准链路。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四、核心能力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B7A6E"/>
          <w:sz w:val="24"/>
        </w:rPr>
        <w:t>4.1 底层数据处理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模版化即插即用</w:t>
      </w:r>
      <w:r>
        <w:rPr>
          <w:rFonts w:ascii="微软雅黑" w:hAnsi="微软雅黑" w:eastAsia="微软雅黑"/>
        </w:rPr>
        <w:t>:按设备数据/协议类型预置模板,接入时自动/手动选模板,系统自动完成协议解析与端口映射,大幅缩短现场实施与交付周期,设备扩充“流水线作业”。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数据系统化打标</w:t>
      </w:r>
      <w:r>
        <w:rPr>
          <w:rFonts w:ascii="微软雅黑" w:hAnsi="微软雅黑" w:eastAsia="微软雅黑"/>
        </w:rPr>
        <w:t>:给每台设备/传感器打“系统分类(动力/配电)+ 位置分类(主推舱/驾驶舱)”标签,使 AI 能从物理位置与系统层级判断故障根因来自哪个舱室、会引发哪些上下游连带反应。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B7A6E"/>
          <w:sz w:val="24"/>
        </w:rPr>
        <w:t>4.2 数据拓展运用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设备离线状态识别</w:t>
      </w:r>
      <w:r>
        <w:rPr>
          <w:rFonts w:ascii="微软雅黑" w:hAnsi="微软雅黑" w:eastAsia="微软雅黑"/>
        </w:rPr>
        <w:t>:基于“是否收到数据 + 是否应该有数据”的工况综合判断,杜绝静默设备被误判离线。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船舶状态识别(工况上下文)</w:t>
      </w:r>
      <w:r>
        <w:rPr>
          <w:rFonts w:ascii="微软雅黑" w:hAnsi="微软雅黑" w:eastAsia="微软雅黑"/>
        </w:rPr>
        <w:t>:自动识别进出港机动/停泊系泊/正常航行/无动力漂航四阶段,给 AI 最核心的“船舶环境上下文”。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设备健康分机制</w:t>
      </w:r>
      <w:r>
        <w:rPr>
          <w:rFonts w:ascii="微软雅黑" w:hAnsi="微软雅黑" w:eastAsia="微软雅黑"/>
        </w:rPr>
        <w:t>:熔断红线+短板扣分,实时计算 0–100 健康分,时序构成“故障趋势”,通向预测性维护。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告警分级</w:t>
      </w:r>
      <w:r>
        <w:rPr>
          <w:rFonts w:ascii="微软雅黑" w:hAnsi="微软雅黑" w:eastAsia="微软雅黑"/>
        </w:rPr>
        <w:t>:P0 紧急(触物理红线,立即停机/干预)/ P1 异常预警(超时防抖的趋势恶化)/ P2 运行提示(后台静默)。让船员 90% 时间免无效弹窗,1% 紧急时刻拿到最高优先级阻断。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B7A6E"/>
          <w:sz w:val="24"/>
        </w:rPr>
        <w:t>4.3 交互体验升级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健康色点 UI</w:t>
      </w:r>
      <w:r>
        <w:rPr>
          <w:rFonts w:ascii="微软雅黑" w:hAnsi="微软雅黑" w:eastAsia="微软雅黑"/>
        </w:rPr>
        <w:t>:每个设备卡片设健康分色点,扫一眼首页即聚焦重点,降低使用门槛。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AI 跨设备融合诊断</w:t>
      </w:r>
      <w:r>
        <w:rPr>
          <w:rFonts w:ascii="微软雅黑" w:hAnsi="微软雅黑" w:eastAsia="微软雅黑"/>
        </w:rPr>
        <w:t>:AI 助手挂三个 MCP 工具(航向状态 / 设备分类标签与数据 / 健康分细则与趋势),结合关联系统报错、当前环境与健康下滑趋势融合研判。例:由主推高温+发电机大负载,精准诊断“螺旋桨卡死”而非单纯冷却故障。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情境问答 AI</w:t>
      </w:r>
      <w:r>
        <w:rPr>
          <w:rFonts w:ascii="微软雅黑" w:hAnsi="微软雅黑" w:eastAsia="微软雅黑"/>
        </w:rPr>
        <w:t>:自动挂载上轮诊断报告、当前界面设备语境、历史对话与即时输入,听懂船员模糊指令(“这个严重吗”“需要停机吗”),不必重复汇报背景。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B7A6E"/>
          <w:sz w:val="24"/>
        </w:rPr>
        <w:t>4.4 交互界面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val="clear" w:color="auto" w:fill="EAF0F8"/>
          </w:tcPr>
          <w:p>
            <w:pPr>
              <w:spacing w:before="440" w:after="440"/>
              <w:jc w:val="center"/>
            </w:pPr>
            <w:r>
              <w:rPr>
                <w:rFonts w:ascii="微软雅黑" w:hAnsi="微软雅黑" w:eastAsia="微软雅黑"/>
                <w:i/>
                <w:color w:val="555555"/>
                <w:sz w:val="19"/>
              </w:rPr>
              <w:t>〔此处插入图片〕  请插入平台/Pad 端界面截图(侧推进器详情、IOT 平台总览等)</w:t>
            </w:r>
          </w:p>
        </w:tc>
      </w:tr>
    </w:tbl>
    <w:p>
      <w:pPr>
        <w:spacing w:after="160"/>
        <w:jc w:val="center"/>
      </w:pPr>
      <w:r>
        <w:rPr>
          <w:rFonts w:ascii="微软雅黑" w:hAnsi="微软雅黑" w:eastAsia="微软雅黑"/>
          <w:color w:val="555555"/>
          <w:sz w:val="18"/>
        </w:rPr>
        <w:t>图 2 · IOT 平台 / IOT Pad 交互界面(设备详情、流量与温度、趋势、电压温度等实时监控)</w:t>
      </w:r>
    </w:p>
    <w:p>
      <w:r>
        <w:rPr>
          <w:rFonts w:ascii="微软雅黑" w:hAnsi="微软雅黑" w:eastAsia="微软雅黑"/>
        </w:rPr>
        <w:t>四能力主线:</w:t>
      </w:r>
      <w:r>
        <w:rPr>
          <w:rFonts w:ascii="微软雅黑" w:hAnsi="微软雅黑" w:eastAsia="微软雅黑"/>
          <w:b/>
        </w:rPr>
        <w:t>看</w:t>
      </w:r>
      <w:r>
        <w:rPr>
          <w:rFonts w:ascii="微软雅黑" w:hAnsi="微软雅黑" w:eastAsia="微软雅黑"/>
        </w:rPr>
        <w:t xml:space="preserve">(统一可视化+视频)· </w:t>
      </w:r>
      <w:r>
        <w:rPr>
          <w:rFonts w:ascii="微软雅黑" w:hAnsi="微软雅黑" w:eastAsia="微软雅黑"/>
          <w:b/>
        </w:rPr>
        <w:t>问</w:t>
      </w:r>
      <w:r>
        <w:rPr>
          <w:rFonts w:ascii="微软雅黑" w:hAnsi="微软雅黑" w:eastAsia="微软雅黑"/>
        </w:rPr>
        <w:t xml:space="preserve">(AI 跨设备融合诊断+情境问答)· </w:t>
      </w:r>
      <w:r>
        <w:rPr>
          <w:rFonts w:ascii="微软雅黑" w:hAnsi="微软雅黑" w:eastAsia="微软雅黑"/>
          <w:b/>
        </w:rPr>
        <w:t>操</w:t>
      </w:r>
      <w:r>
        <w:rPr>
          <w:rFonts w:ascii="微软雅黑" w:hAnsi="微软雅黑" w:eastAsia="微软雅黑"/>
        </w:rPr>
        <w:t xml:space="preserve">(即插即用+移动工作台现场闭环)· </w:t>
      </w:r>
      <w:r>
        <w:rPr>
          <w:rFonts w:ascii="微软雅黑" w:hAnsi="微软雅黑" w:eastAsia="微软雅黑"/>
          <w:b/>
        </w:rPr>
        <w:t>控</w:t>
      </w:r>
      <w:r>
        <w:rPr>
          <w:rFonts w:ascii="微软雅黑" w:hAnsi="微软雅黑" w:eastAsia="微软雅黑"/>
        </w:rPr>
        <w:t>(可控设备+分级控制,见第五节)。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五、控制与 AI 责任边界(自有分级控制闭环)</w:t>
      </w:r>
    </w:p>
    <w:p>
      <w:r>
        <w:rPr>
          <w:rFonts w:ascii="微软雅黑" w:hAnsi="微软雅黑" w:eastAsia="微软雅黑"/>
        </w:rPr>
        <w:t>把 AI 放进船舶控制,关键不是“交给谁”,而是用一条</w:t>
      </w:r>
      <w:r>
        <w:rPr>
          <w:rFonts w:ascii="微软雅黑" w:hAnsi="微软雅黑" w:eastAsia="微软雅黑"/>
          <w:b/>
        </w:rPr>
        <w:t>分级、可仲裁、可降级</w:t>
      </w:r>
      <w:r>
        <w:rPr>
          <w:rFonts w:ascii="微软雅黑" w:hAnsi="微软雅黑" w:eastAsia="微软雅黑"/>
        </w:rPr>
        <w:t>的控制闭环,让 AI 的研判按风险与可信度逐级转化为动作。</w:t>
      </w:r>
      <w:r>
        <w:rPr>
          <w:rFonts w:ascii="微软雅黑" w:hAnsi="微软雅黑" w:eastAsia="微软雅黑"/>
          <w:b/>
        </w:rPr>
        <w:t>这是自有的控制解决方案,不外包给第三方船控。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① AI 的责任边界</w:t>
      </w:r>
      <w:r>
        <w:rPr>
          <w:rFonts w:ascii="微软雅黑" w:hAnsi="微软雅黑" w:eastAsia="微软雅黑"/>
        </w:rPr>
        <w:t>:AI 做多源感知融合 → 风险评分(0–1)→ 目标级/场景级研判 → 建议/辅助动作与置信度;不无条件、不直接接管真实执行;对法定安全系统(火警/进水等)是“减少误报、区域定位、提高感知先验”的增强而非替代;最终保留人工确认与值守,一切动作可回放、可审计。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② 四档控制权限阶梯</w:t>
      </w:r>
      <w:r>
        <w:rPr>
          <w:rFonts w:ascii="微软雅黑" w:hAnsi="微软雅黑" w:eastAsia="微软雅黑"/>
        </w:rPr>
        <w:t>(由 风险评分 + 置信度 + ODD + 关键传感器健康 共同 gating):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551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</w:t>
            </w:r>
          </w:p>
        </w:tc>
        <w:tc>
          <w:tcPr>
            <w:tcW w:type="dxa" w:w="3402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1417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人确认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建议 advisory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风险&lt;0.55 或置信不足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HMI 建议航向/航速、报警提示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辅助 assist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0.55–0.75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叠加 AR/SVM、限制危险命令、建议侧推/减速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自动 auto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0.75–0.90 且 ODD 内、传感器健康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避碰/减速/保持航道/靠泊微调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视场景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远控 takeover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≥0.90 或复合异常、通信正常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岸基接管,船端保留安全壳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值守生效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③ 执行链三道闸(安全包线)</w:t>
      </w:r>
      <w:r>
        <w:rPr>
          <w:rFonts w:ascii="微软雅黑" w:hAnsi="微软雅黑" w:eastAsia="微软雅黑"/>
        </w:rPr>
        <w:t>:任何写入执行层(舵机/主机/侧推)的命令依次经 权限仲裁 → 安全包线(限幅、危险命令拦截)→ 故障切换;远控写入额外要求网关放行、通信健康、控制租约有效、命令签名+白名单。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④ Fail-safe 降级</w:t>
      </w:r>
      <w:r>
        <w:rPr>
          <w:rFonts w:ascii="微软雅黑" w:hAnsi="微软雅黑" w:eastAsia="微软雅黑"/>
        </w:rPr>
        <w:t>:通信中断→本地自治、禁止新远控写入、切备链路;关键传感器失效→切换融合权重;GNSS 欺骗/失锁→切惯导、禁止高等级自动航行、人工确认定位;不确定性过高→降级 advisory only。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⑤ 分级演进</w:t>
      </w:r>
      <w:r>
        <w:rPr>
          <w:rFonts w:ascii="微软雅黑" w:hAnsi="微软雅黑" w:eastAsia="微软雅黑"/>
        </w:rPr>
        <w:t>:按 IMO MASS 路线 决策支持 → 有监督自动驾驶 → 远控接管与特定 ODD 高等级自主;先 L1 风险预测 + L2 辅助操控 + 港区/重复航线 L3 自动靠泊/避碰,再扩展。</w:t>
      </w:r>
    </w:p>
    <w:p>
      <w:r>
        <w:rPr>
          <w:rFonts w:ascii="微软雅黑" w:hAnsi="微软雅黑" w:eastAsia="微软雅黑"/>
        </w:rPr>
        <w:t>一句话:</w:t>
      </w:r>
      <w:r>
        <w:rPr>
          <w:rFonts w:ascii="微软雅黑" w:hAnsi="微软雅黑" w:eastAsia="微软雅黑"/>
          <w:b/>
        </w:rPr>
        <w:t>AI 负责“看清、算准、给建议”;控制权按风险分级、经仲裁与安全包线逐级放开;人始终可确认、可接管;系统永远向安全侧降级。</w:t>
      </w:r>
      <w:r>
        <w:rPr>
          <w:rFonts w:ascii="微软雅黑" w:hAnsi="微软雅黑" w:eastAsia="微软雅黑"/>
        </w:rPr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六、国产化 / 信创可控</w:t>
      </w:r>
    </w:p>
    <w:p>
      <w:pPr>
        <w:pStyle w:val="ListBullet"/>
      </w:pPr>
      <w:r>
        <w:rPr>
          <w:rFonts w:ascii="微软雅黑" w:hAnsi="微软雅黑" w:eastAsia="微软雅黑"/>
        </w:rPr>
        <w:t>面向央企、监管与涉密场景,支持国产化、安全可控、本地化部署、内网运行、离线推理、数据不外传。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核心算力国产化已落地</w:t>
      </w:r>
      <w:r>
        <w:rPr>
          <w:rFonts w:ascii="微软雅黑" w:hAnsi="微软雅黑" w:eastAsia="微软雅黑"/>
        </w:rPr>
        <w:t>:边缘主机实配纯血国产类脑 AI 芯片(INT8 48 TOPS / FP16 24 TFLOPS),非纸面承诺。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分层算力</w:t>
      </w:r>
      <w:r>
        <w:rPr>
          <w:rFonts w:ascii="微软雅黑" w:hAnsi="微软雅黑" w:eastAsia="微软雅黑"/>
        </w:rPr>
        <w:t>:边缘算力 + 本地服务器算力 + AI 推理算力。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信创数据栈</w:t>
      </w:r>
      <w:r>
        <w:rPr>
          <w:rFonts w:ascii="微软雅黑" w:hAnsi="微软雅黑" w:eastAsia="微软雅黑"/>
        </w:rPr>
        <w:t>:关系库 + 时序库 + 向量库(RAG)+ 文件存储,与底座同栈;本地私有化大模型 + RAG,输出可追溯、可人工确认。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七、为什么是我们(差异化)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195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智能船机交互系统</w:t>
            </w:r>
          </w:p>
        </w:tc>
        <w:tc>
          <w:tcPr>
            <w:tcW w:type="dxa" w:w="3402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传统集成方案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交付模式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软硬空间一体化,一家整合交付,责任单一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软硬碎片、多家拼装、责任分散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扩展逻辑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站在不变底座三套契约上,低成本加设备/场景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一船一造、重复改造、改一处动全身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AI 形态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AI 原生:3 个 MCP 工具+工况上下文驱动跨设备融合诊断,且负责任边界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传统人机界面,单设备看数据,AI 事后挂载或越界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可控可信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纯血国产类脑芯片、本地化、数据不外传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依赖国外芯片/生态、数据外传顾虑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补充:</w:t>
      </w:r>
      <w:r>
        <w:rPr>
          <w:rFonts w:ascii="微软雅黑" w:hAnsi="微软雅黑" w:eastAsia="微软雅黑"/>
          <w:b/>
        </w:rPr>
        <w:t>负责任的 AI 边界 = 可信</w:t>
      </w:r>
      <w:r>
        <w:rPr>
          <w:rFonts w:ascii="微软雅黑" w:hAnsi="微软雅黑" w:eastAsia="微软雅黑"/>
        </w:rPr>
        <w:t>(对监管与安全责任主体是减分项变加分项);</w:t>
      </w:r>
      <w:r>
        <w:rPr>
          <w:rFonts w:ascii="微软雅黑" w:hAnsi="微软雅黑" w:eastAsia="微软雅黑"/>
          <w:b/>
        </w:rPr>
        <w:t>人机交互基因跨域</w:t>
      </w:r>
      <w:r>
        <w:rPr>
          <w:rFonts w:ascii="微软雅黑" w:hAnsi="微软雅黑" w:eastAsia="微软雅黑"/>
        </w:rPr>
        <w:t>(智能座舱/人机交互能力下船,交互设计功底是天然壁垒);按监管规则原生设计而非事后适配。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八、实施路线与交付验收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</w:t>
            </w:r>
          </w:p>
        </w:tc>
        <w:tc>
          <w:tcPr>
            <w:tcW w:type="dxa" w:w="4535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2"/>
            <w:shd w:val="clear" w:color="auto" w:fill="164E8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验收口径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单船/单舱概念验证(可视化监控起步)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稳定运行 30 天、数据联通率 &gt;90%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监控告警 + 健康评分 + 驾控 / 岸端接入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客户可用的监管与运维入口、满足报建接口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全船软硬一体 + 遥控/船岸协同 + 规模化复制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标准化复制、岸基指挥中心联调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退出机制:任一步验收不满意可随时协商,不影响后续模块——小步快跑、低风险。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九、相关材料(单独交付)</w:t>
      </w:r>
    </w:p>
    <w:p>
      <w:r>
        <w:rPr>
          <w:rFonts w:ascii="微软雅黑" w:hAnsi="微软雅黑" w:eastAsia="微软雅黑"/>
        </w:rPr>
        <w:t>《船舶态势感知与远程控制落地技术方案》是单独提供给客户的一份材料,覆盖多源感知融合(视觉+雷达+LiDAR+AIS+GNSS/IMU+气象海流)、时间同步与双总线架构、三层融合、风险评分模型、九类风险场景与自动驾驶分级演进。</w:t>
      </w:r>
      <w:r>
        <w:rPr>
          <w:rFonts w:ascii="微软雅黑" w:hAnsi="微软雅黑" w:eastAsia="微软雅黑"/>
          <w:b/>
        </w:rPr>
        <w:t>本产品第五节的控制责任边界与该材料同源、口径一致。</w:t>
      </w:r>
      <w:r>
        <w:rPr>
          <w:rFonts w:ascii="微软雅黑" w:hAnsi="微软雅黑" w:eastAsia="微软雅黑"/>
        </w:rPr>
        <w:t xml:space="preserve"> 如需可单独提供供专项评审。</w:t>
      </w:r>
    </w:p>
    <w:p>
      <w:pPr>
        <w:spacing w:before="240" w:after="80"/>
        <w:pBdr>
          <w:bottom w:val="single" w:sz="6" w:space="4" w:color="164E8C"/>
        </w:pBdr>
      </w:pPr>
      <w:r>
        <w:rPr>
          <w:rFonts w:ascii="微软雅黑" w:hAnsi="微软雅黑" w:eastAsia="微软雅黑"/>
          <w:b/>
          <w:color w:val="164E8C"/>
          <w:sz w:val="30"/>
        </w:rPr>
        <w:t>附:专家评审/投标前待确认项</w:t>
      </w:r>
    </w:p>
    <w:p>
      <w:pPr>
        <w:pStyle w:val="ListBullet"/>
      </w:pPr>
      <w:r>
        <w:rPr>
          <w:rFonts w:ascii="微软雅黑" w:hAnsi="微软雅黑" w:eastAsia="微软雅黑"/>
        </w:rPr>
        <w:t>可对外引用的案例与客户名单、可披露资质;</w:t>
      </w:r>
    </w:p>
    <w:p>
      <w:pPr>
        <w:pStyle w:val="ListBullet"/>
      </w:pPr>
      <w:r>
        <w:rPr>
          <w:rFonts w:ascii="微软雅黑" w:hAnsi="微软雅黑" w:eastAsia="微软雅黑"/>
        </w:rPr>
        <w:t>三大降本指标(-50%/-60%/-55%)的测算口径与佐证;</w:t>
      </w:r>
    </w:p>
    <w:p>
      <w:pPr>
        <w:pStyle w:val="ListBullet"/>
      </w:pPr>
      <w:r>
        <w:rPr>
          <w:rFonts w:ascii="微软雅黑" w:hAnsi="微软雅黑" w:eastAsia="微软雅黑"/>
        </w:rPr>
        <w:t>交互硬件配置(大屏/操控台/语音阵列等型号;边缘主机规格已确认);</w:t>
      </w:r>
    </w:p>
    <w:p>
      <w:pPr>
        <w:pStyle w:val="ListBullet"/>
      </w:pPr>
      <w:r>
        <w:rPr>
          <w:rFonts w:ascii="微软雅黑" w:hAnsi="微软雅黑" w:eastAsia="微软雅黑"/>
        </w:rPr>
        <w:t>国产化完整适配清单与可申报政策专项;</w:t>
      </w:r>
    </w:p>
    <w:p>
      <w:pPr>
        <w:pStyle w:val="ListBullet"/>
      </w:pPr>
      <w:r>
        <w:rPr>
          <w:rFonts w:ascii="微软雅黑" w:hAnsi="微软雅黑" w:eastAsia="微软雅黑"/>
        </w:rPr>
        <w:t>第五节控制边界按客户场景落地(ODD 定义、安全包线、人工确认边界);</w:t>
      </w:r>
    </w:p>
    <w:p>
      <w:pPr>
        <w:pStyle w:val="ListBullet"/>
      </w:pPr>
      <w:r>
        <w:rPr>
          <w:rFonts w:ascii="微软雅黑" w:hAnsi="微软雅黑" w:eastAsia="微软雅黑"/>
        </w:rPr>
        <w:t>复杂 Modbus 字段需客户提供厂家寄存器表(量纲/倍率/报警位/通讯参数)。</w:t>
      </w:r>
    </w:p>
    <w:p/>
    <w:p>
      <w:pPr>
        <w:jc w:val="center"/>
      </w:pPr>
      <w:r>
        <w:rPr>
          <w:rFonts w:ascii="微软雅黑" w:hAnsi="微软雅黑" w:eastAsia="微软雅黑"/>
          <w:color w:val="555555"/>
          <w:sz w:val="17"/>
        </w:rPr>
        <w:t>— 本文为产品级技术方案,具体参数以合同与现场复勘为准。—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