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jc w:val="center"/>
      </w:pPr>
      <w:r>
        <w:rPr>
          <w:rFonts w:ascii="微软雅黑" w:hAnsi="微软雅黑" w:eastAsia="微软雅黑"/>
          <w:b/>
          <w:color w:val="164E8C"/>
          <w:sz w:val="60"/>
        </w:rPr>
        <w:t>智能船机交互系统</w:t>
      </w:r>
    </w:p>
    <w:p>
      <w:pPr>
        <w:jc w:val="center"/>
      </w:pPr>
      <w:r>
        <w:rPr>
          <w:rFonts w:ascii="微软雅黑" w:hAnsi="微软雅黑" w:eastAsia="微软雅黑"/>
          <w:color w:val="0B7A6E"/>
          <w:sz w:val="34"/>
        </w:rPr>
        <w:t>核心产品技术方案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3"/>
        </w:rPr>
        <w:t>软硬件一体的船端人机协同驾控中枢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268"/>
            <w:shd w:val="clear" w:color="auto" w:fill="EAF0F8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1"/>
              </w:rPr>
              <w:t>V1.1</w:t>
            </w:r>
          </w:p>
        </w:tc>
      </w:tr>
      <w:tr>
        <w:tc>
          <w:tcPr>
            <w:tcW w:type="dxa" w:w="2268"/>
            <w:shd w:val="clear" w:color="auto" w:fill="EAF0F8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文档性质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1"/>
              </w:rPr>
              <w:t>产品级技术方案</w:t>
            </w:r>
          </w:p>
        </w:tc>
      </w:tr>
      <w:tr>
        <w:tc>
          <w:tcPr>
            <w:tcW w:type="dxa" w:w="2268"/>
            <w:shd w:val="clear" w:color="auto" w:fill="EAF0F8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适用读者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1"/>
              </w:rPr>
              <w:t>船东与航运企业 · 总体设计与技术评审 · 船级社送审</w:t>
            </w:r>
          </w:p>
        </w:tc>
      </w:tr>
      <w:tr>
        <w:tc>
          <w:tcPr>
            <w:tcW w:type="dxa" w:w="2268"/>
            <w:shd w:val="clear" w:color="auto" w:fill="EAF0F8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编制日期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 年 6 月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一、项目背景与产品定位</w:t>
      </w:r>
    </w:p>
    <w:p>
      <w:pPr>
        <w:jc w:val="both"/>
      </w:pPr>
      <w:r>
        <w:rPr>
          <w:rFonts w:ascii="微软雅黑" w:hAnsi="微软雅黑" w:eastAsia="微软雅黑"/>
        </w:rPr>
        <w:t>近年来,智能航运、绿色航运与远程运维加速推进,船舶的运行方式正从传统的"船上单点驾驶"向"船端智能、岸端协同、数据贯通"演进。然而在大量在役与新造船舶上,真正制约智能化落地的,往往并不是缺少某一台先进设备,而是船上数十类设备分属不同厂家、采用不同协议、各自维护着一套独立的界面与数据口径。其直接后果是:驾驶台与机舱人员不得不在多套系统之间反复切换;真正关键的告警淹没在大量无差别的提示之中;船端与岸端各自只掌握一部分信息,难以形成统一的运行态势。更深一层的问题在于,这些彼此割裂的数据无法沉淀为可复用的资产,每一条船都要从头集成一遍,既难以快速复制,也难以为后续的预测性维护与智能分析打下基础。</w:t>
      </w:r>
    </w:p>
    <w:p>
      <w:pPr>
        <w:jc w:val="both"/>
      </w:pPr>
      <w:r>
        <w:rPr>
          <w:rFonts w:ascii="微软雅黑" w:hAnsi="微软雅黑" w:eastAsia="微软雅黑"/>
        </w:rPr>
        <w:t>智能船机交互系统正是针对这一根本问题而设计。它是一套软硬件一体的船端人机协同驾控中枢:在一套统一、稳定的 AI-IoT 数据底座之上,把全船设备的数据标准化地汇聚起来,再以船员能够直接使用的方式,呈现为"看得见、问得清、操得动、控得住"的统一体验,并可顺势向岸端延伸,支撑远程监管、远程协助与人员培训。在结构上,系统分为两层:底层是 AI-IoT 数据底座,负责异构设备数据的接入、解析与标准化,解决"设备到数据"的问题;上层是面向人的交互与驾控,负责把标准化的数据转化为驾控体验与操作能力,解决"数据到人机"的问题。两层之间以明确的接口契约衔接,可以各自独立演进,这也是产品能够在不同船型上快速复制、并支撑长期迭代的根基。</w:t>
      </w:r>
    </w:p>
    <w:p>
      <w:pPr>
        <w:jc w:val="both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本项目以实船应用为目标。</w:t>
      </w:r>
      <w:r>
        <w:rPr>
          <w:rFonts w:ascii="微软雅黑" w:hAnsi="微软雅黑" w:eastAsia="微软雅黑"/>
        </w:rPr>
        <w:t xml:space="preserve"> 系统将在真实营运船舶上完成安装、联调与试运行,在实船环境中检验设备接入的稳定性、数据的准确性与人机交互的可用性;待实船稳定运行、积累足够运行数据之后,再依据船级社相关规范推进 CCS 认证,使产品从"工程可用"走向"规范可认证"。需要强调的是,本系统在整体定位上是面向人的辅助决策与运维平台,以及在限定条件下的辅助操控;它与船上既有的、已获船级社认可的导航、推进遥控、舵机控制与集成报警系统并存协同,不替代其法定安全功能,这一点贯穿全文。</w:t>
      </w:r>
    </w:p>
    <w:p>
      <w:pPr>
        <w:jc w:val="both"/>
      </w:pPr>
      <w:r>
        <w:rPr>
          <w:rFonts w:ascii="微软雅黑" w:hAnsi="微软雅黑" w:eastAsia="微软雅黑"/>
        </w:rPr>
        <w:t>在已交付的同类应用中,这种软硬件一体、统一接入的形态相比传统多厂家分散集成的方式,在管理成本、现场交付周期与日常运维成本三方面均有明显改善,典型量级如下(对比基准为传统多厂家分散集成方式,测算口径在第十一节说明)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164E8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40"/>
              </w:rPr>
              <w:t>-50%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DDE6F2"/>
                <w:sz w:val="19"/>
              </w:rPr>
              <w:t>管理成本</w:t>
            </w:r>
          </w:p>
        </w:tc>
        <w:tc>
          <w:tcPr>
            <w:tcW w:type="dxa" w:w="2323"/>
            <w:shd w:val="clear" w:color="auto" w:fill="164E8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40"/>
              </w:rPr>
              <w:t>-60%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DDE6F2"/>
                <w:sz w:val="19"/>
              </w:rPr>
              <w:t>交付周期</w:t>
            </w:r>
          </w:p>
        </w:tc>
        <w:tc>
          <w:tcPr>
            <w:tcW w:type="dxa" w:w="2323"/>
            <w:shd w:val="clear" w:color="auto" w:fill="164E8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40"/>
              </w:rPr>
              <w:t>-55%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DDE6F2"/>
                <w:sz w:val="19"/>
              </w:rPr>
              <w:t>运维成本</w:t>
            </w:r>
          </w:p>
        </w:tc>
        <w:tc>
          <w:tcPr>
            <w:tcW w:type="dxa" w:w="2323"/>
            <w:shd w:val="clear" w:color="auto" w:fill="164E8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40"/>
              </w:rPr>
              <w:t>50+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DDE6F2"/>
                <w:sz w:val="19"/>
              </w:rPr>
              <w:t>单台终端接入设备</w:t>
            </w:r>
          </w:p>
        </w:tc>
      </w:tr>
    </w:tbl>
    <w:p>
      <w:pPr>
        <w:spacing w:after="120"/>
      </w:pP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二、AI-IoT 数据底座:总体架构与技术说明</w:t>
      </w:r>
    </w:p>
    <w:p>
      <w:pPr>
        <w:jc w:val="both"/>
      </w:pPr>
      <w:r>
        <w:rPr>
          <w:rFonts w:ascii="微软雅黑" w:hAnsi="微软雅黑" w:eastAsia="微软雅黑"/>
        </w:rPr>
        <w:t>AI-IoT 数据底座是整个系统的技术基础。它面向船舶现场的设备接入、运行监控、告警管理、健康评分与智能诊断而建设,整体由采集端边缘网关、服务端业务中台、消息与数据存储组件,以及日志与可视化运维组件共同构成。底座的目标并不是简单地完成单台设备的数据读取,而是建立一套可扩展、可运维、可追溯的船舶设备接入与监控平台:它能够对 NMEA 0183、CAN、Modbus TCP、Modbus RTU 等现场协议进行统一接入,对采集数据进行结构化处理,并向前端大屏、Web 系统或第三方平台提供标准化接口。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2.1  总体架构与设计理念</w:t>
      </w:r>
    </w:p>
    <w:p>
      <w:pPr>
        <w:jc w:val="both"/>
      </w:pPr>
      <w:r>
        <w:rPr>
          <w:rFonts w:ascii="微软雅黑" w:hAnsi="微软雅黑" w:eastAsia="微软雅黑"/>
        </w:rPr>
        <w:t>底座整体采用"边缘采集 + 消息总线 + 服务端业务中台 + 数据存储 + 可视化运维"的架构。完整的数据链路是:现场设备、PLC、串口服务器或 CAN 设备的数据,先由采集端完成协议解析与标准化,经 MQTT 消息总线分发到服务端,服务端在更新实时状态的同时写入数据库,最终由 Web 前端、驾驶台大屏、机舱屏、第三方系统或 AI 诊断服务通过接口或实时推送获取;系统运行状态与日志则汇聚到统一的运维可视化组件。系统总体框图与网络拓扑见附录 A。</w:t>
      </w:r>
    </w:p>
    <w:p>
      <w:pPr>
        <w:jc w:val="both"/>
      </w:pPr>
      <w:r>
        <w:rPr>
          <w:rFonts w:ascii="微软雅黑" w:hAnsi="微软雅黑" w:eastAsia="微软雅黑"/>
        </w:rPr>
        <w:t>这一架构有四个鲜明特点:分层解耦,使现场协议接入、数据解析、业务服务、前端展示与运维监控彼此独立,便于分阶段交付与扩展;消息驱动,使采集链路通过消息总线分发数据、状态、错误与识别事件,兼顾实时性与扩展性;数据留痕,使关键采集记录、设备台账、告警历史与健康评分历史均可持久化,便于查询与追溯;动态扩展,使已知设备可自动绑定、未知设备通过 AI 辅助识别与人工确认逐步纳入标准链路。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2.2  系统组成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453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主要职责</w:t>
            </w:r>
          </w:p>
        </w:tc>
        <w:tc>
          <w:tcPr>
            <w:tcW w:type="dxa" w:w="243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对客户的价值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采集端边缘网关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现场串口、TCP、CAN、Modbus 等设备接入,完成协议初判、数据转发、解析与上送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统一现场设备接入方式,降低多协议接入的复杂度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服务端业务中台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设备台账、端口绑定、实时监控、告警管理、健康评分、动态识别与 AI 诊断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为前端大屏与第三方系统提供稳定、统一的数据服务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MQTT 消息总线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承载采集数据、状态、告警、错误与识别流程消息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提高实时性,并支持多个业务模块订阅同一数据源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关系库与时序库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存储设备台账、采集记录、告警历史、健康评分与配置数据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支持历史查询、趋势分析与问题追溯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缓存组件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用于动态端口映射、运行期缓存与识别档案缓存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提升运行效率,并支持动态绑定状态恢复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AI 识别与诊断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采集侧借助本地模型辅助识别未知设备;服务侧通过外部 AI 工作流提供诊断与问答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提升新增设备接入效率与运维辅助分析能力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日志聚合与可视化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负责日志聚合、查询与运维可视化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便于运维、故障定位与客户验收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2.3  采集端:统一设备接入</w:t>
      </w:r>
    </w:p>
    <w:p>
      <w:pPr>
        <w:jc w:val="both"/>
      </w:pPr>
      <w:r>
        <w:rPr>
          <w:rFonts w:ascii="微软雅黑" w:hAnsi="微软雅黑" w:eastAsia="微软雅黑"/>
        </w:rPr>
        <w:t>采集端面向船舶现场设备的接入场景,核心职责是把不同协议、不同物理接口的设备数据统一接入、解析、转发与落库。它由协议路由、采集解析、设备智能识别、消息分发以及数据库与缓存等组件构成,其中协议解析采用成熟的 Telegraf 引擎,通过为每类设备预置解析配置,把"逐台编写解析代码"降级为"配置解析模板"。</w:t>
      </w:r>
      <w:r>
        <w:rPr>
          <w:rFonts w:ascii="微软雅黑" w:hAnsi="微软雅黑" w:eastAsia="微软雅黑"/>
          <w:b/>
        </w:rPr>
        <w:t>需要特别说明的是,采集端对船舶既有导航与安全设备采用旁路、隔离、只读的接入方式,不向其总线施加负载,确保接入过程不影响原设备的正常工作。</w:t>
      </w:r>
      <w:r>
        <w:rPr>
          <w:rFonts w:ascii="微软雅黑" w:hAnsi="微软雅黑" w:eastAsia="微软雅黑"/>
        </w:rPr>
        <w:t xml:space="preserve"> 采集端支持的协议与设备类型如下。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协议类型</w:t>
            </w:r>
          </w:p>
        </w:tc>
        <w:tc>
          <w:tcPr>
            <w:tcW w:type="dxa" w:w="4252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支持范围</w:t>
            </w:r>
          </w:p>
        </w:tc>
        <w:tc>
          <w:tcPr>
            <w:tcW w:type="dxa" w:w="294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9"/>
              </w:rPr>
              <w:t>NMEA 0183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AIS、测深仪、倾角仪、雾号、自动舵、气象、北斗、磁罗经、卫星罗经、火警、总报警等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通过文本帧特征识别与解析,适合常见船载导航与传感设备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9"/>
              </w:rPr>
              <w:t>CAN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毫米波雷达 RADAR1 至 RADAR4 等 CAN 类设备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通过 SLCAN 文本帧格式识别,统一进入采集链路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9"/>
              </w:rPr>
              <w:t>Modbus TCP / RTU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主推进、侧推配电、直流母线、电池箱、航行灯、姿态传感器、能见度、液位等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通过功能码、寄存器与探测报文接入,复杂业务字段需结合厂家寄存器表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对于已预置模板的设备,采集端可在不依赖 AI 的情况下完成自动绑定:协议路由模块根据报文特征命中对应模板,把数据转发到固定的采集监听端口,再由预置解析器完成结构化处理。对于新增或临时接入的未知设备,采集端会自动采样原始报文、发布识别请求,调用本地模型辅助判断协议、设备类型与字段结构,生成或复用解析配置,作为接入初期的辅助分析手段。采集端对外输出标准化设备数据、采集与解析异常消息,维护设备在线状态与动态端口绑定状态,并将动态台账与解析记录写入数据库、日志汇聚至运维组件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2.4  服务端:业务中台</w:t>
      </w:r>
    </w:p>
    <w:p>
      <w:pPr>
        <w:jc w:val="both"/>
      </w:pPr>
      <w:r>
        <w:rPr>
          <w:rFonts w:ascii="微软雅黑" w:hAnsi="微软雅黑" w:eastAsia="微软雅黑"/>
        </w:rPr>
        <w:t>服务端是底座的业务中台,负责承接采集端上送的数据,统一管理设备、端口、配置模板、告警、健康评分与动态识别结果,并向前端或第三方系统提供标准接口、实时推送与 AI 诊断能力。其核心业务能力如下。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能力模块</w:t>
            </w:r>
          </w:p>
        </w:tc>
        <w:tc>
          <w:tcPr>
            <w:tcW w:type="dxa" w:w="453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主要功能</w:t>
            </w:r>
          </w:p>
        </w:tc>
        <w:tc>
          <w:tcPr>
            <w:tcW w:type="dxa" w:w="243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对客户的作用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统一设备业务接口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按设备 ID 输出设备概览与业务对象,屏蔽底层协议差异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前端与第三方系统无须理解底层采集协议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实时监控中心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输出设备在线、离线、异常、劣化状态及实时设备列表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支撑驾驶台、机舱、大屏与运维页面展示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告警管理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支持实时告警、未确认告警查询与告警确认闭环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形成设备异常发现、确认与追溯的闭环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端口管理与设备绑定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 COM、CAN、LAN 等端口状态、绑定关系、协议配置与显示名称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使服务端同时具备数据查看与现场运维配置能力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动态设备管理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支持待确认识别结果、动态设备元信息、最新值与历史记录查询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支撑新增设备的即插即用流程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健康评分与趋势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支持规则配置、后台评分调度、实时推送与趋势查询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为设备状态管理与预测性维护提供基础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AI 诊断与智能对话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对接外部 AI 工作流,提供设备诊断、流式输出与问答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sz w:val="19"/>
              </w:rPr>
              <w:t>为运维人员提供辅助诊断入口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在接口形式上,服务端通过 REST 提供设备查询、告警确认、端口配置、动态设备管理、健康评分规则管理与诊断记录落库;通过 WebSocket 推送设备识别事件、健康评分等实时信息;通过 SSE 流式代理实现 AI 诊断与问答的逐段输出;并提供在线接口文档,便于客户联调、测试与验收。对外接口的物理形式、信号与隔离要求详见附录 B。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2.5  数据接口与契约</w:t>
      </w:r>
    </w:p>
    <w:p>
      <w:pPr>
        <w:jc w:val="both"/>
      </w:pPr>
      <w:r>
        <w:rPr>
          <w:rFonts w:ascii="微软雅黑" w:hAnsi="微软雅黑" w:eastAsia="微软雅黑"/>
        </w:rPr>
        <w:t>系统的对外集成围绕三类接口契约展开:贯穿采集与分发链路的 MQTT 消息主题、承载业务对象的核心数据模型,以及面向前端与第三方的对外接口形态。这三类契约通过版本管理与向后兼容机制受控演进——新增能力以增量方式纳入,既保证既有集成不被破坏,也避免"一次定义、永不调整"的僵化;契约的变更纳入配置管理与变更评审。关键消息主题与核心数据表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1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消息主题</w:t>
            </w:r>
          </w:p>
        </w:tc>
        <w:tc>
          <w:tcPr>
            <w:tcW w:type="dxa" w:w="5669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/data/device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采集端输出的标准设备采集数据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/iot/error(或 /internal/error)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采集异常、解析异常或运行错误消息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/iot/status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设备在线状态消息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/iot/router/bind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动态设备绑定通知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/iot/identify/request · pending · progress · confirmed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未知设备识别的请求、待确认、进度与确认回传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1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核心数据表</w:t>
            </w:r>
          </w:p>
        </w:tc>
        <w:tc>
          <w:tcPr>
            <w:tcW w:type="dxa" w:w="5669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devices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业务设备主台账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device_alarms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告警历史及确认状态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device_registry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动态设备注册台账、字段元信息与端口映射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telegraf_device_record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动态识别设备的原始报文与结构化结果留痕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pending_identifications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动态识别待确认记录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device_health_score_rules / _history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健康评分规则与历史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port_cards / port_cards_template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端口卡片、端口配置模板与显示配置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9"/>
              </w:rPr>
              <w:t>ship_location_categories / ship_system_categories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9"/>
              </w:rPr>
              <w:t>船舶位置分类与系统分类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2.6  关键业务流程、时统与数据质量</w:t>
      </w:r>
    </w:p>
    <w:p>
      <w:pPr>
        <w:jc w:val="both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标准设备采集流程</w:t>
      </w:r>
      <w:r>
        <w:rPr>
          <w:rFonts w:ascii="微软雅黑" w:hAnsi="微软雅黑" w:eastAsia="微软雅黑"/>
        </w:rPr>
        <w:t>:现场设备经串口服务器、TCP、CAN 或 PLC 接入采集主机,采集端完成协议识别、端口绑定与数据转发,解析引擎按预置解析器将原始报文转为标准 JSON,经 MQTT 输出至服务端,服务端消费数据、更新实时状态并写库,最终前端、Web 或第三方系统通过接口或实时推送获取数据。</w:t>
      </w:r>
    </w:p>
    <w:p>
      <w:pPr>
        <w:jc w:val="both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新增设备接入流程</w:t>
      </w:r>
      <w:r>
        <w:rPr>
          <w:rFonts w:ascii="微软雅黑" w:hAnsi="微软雅黑" w:eastAsia="微软雅黑"/>
        </w:rPr>
        <w:t>:未知设备接入、协议路由无法命中模板时,采集端采集若干帧原始报文并发布识别请求,AI 识别模块进行协议与字段辅助分析、生成候选配置,服务端形成待确认记录,经人工确认后回传,采集端完成动态端口绑定与配置热重载,新增设备进入标准链路并建立动态台账。</w:t>
      </w:r>
    </w:p>
    <w:p>
      <w:pPr>
        <w:jc w:val="both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告警与健康评分流程</w:t>
      </w:r>
      <w:r>
        <w:rPr>
          <w:rFonts w:ascii="微软雅黑" w:hAnsi="微软雅黑" w:eastAsia="微软雅黑"/>
        </w:rPr>
        <w:t>:采集端或服务端产生异常或告警事件后,服务端写入告警历史并推送实时告警列表,操作员确认并记录状态;健康评分调度器定期扫描设备最新数据、按规则计算健康分,结果写入历史表并可转化为实时告警或趋势数据。</w:t>
      </w:r>
    </w:p>
    <w:p>
      <w:pPr>
        <w:jc w:val="both"/>
      </w:pPr>
      <w:r>
        <w:rPr>
          <w:rFonts w:ascii="微软雅黑" w:hAnsi="微软雅黑" w:eastAsia="微软雅黑"/>
        </w:rPr>
        <w:t>为保证融合分析与事后审计的可信,系统对多源数据采用统一时间基准——以卫星授时配合网络时间同步建立全船统一时钟,并对采集数据进行质量标识与坏值剔除,记录原始报文与解析结果,使实时融合、趋势分析与事后回放具有一致、可追溯的时间与数据基础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2.7  部署方式与现场条件</w:t>
      </w:r>
    </w:p>
    <w:p>
      <w:pPr>
        <w:jc w:val="both"/>
      </w:pPr>
      <w:r>
        <w:rPr>
          <w:rFonts w:ascii="微软雅黑" w:hAnsi="微软雅黑" w:eastAsia="微软雅黑"/>
        </w:rPr>
        <w:t>底座采用 Docker Compose 方式部署,适合船端工控机、船端边缘服务器或岸端服务器环境;可按客户网络与运维策略选择船端独立、岸端集中或船岸协同部署。主要部署组件包括协议路由、采集解析、设备智能识别、服务端业务中台、关系库与时序库、缓存、消息中间件、可按需启用的本地 AI 识别,以及日志采集与可视化组件。在现场条件上,采集主机需具备容器运行环境;接入宿主机串口需相应设备访问权限;启用热重载需具备信号控制或等效机制;启用本地 AI 识别需部署相应模型;船端网络需放行设备入口端口、消息总线、数据库、缓存与服务端接口的必要通信;Modbus 类设备需由厂家或客户提供完整寄存器表、量纲、倍率、报警位定义与通讯参数。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三、边缘智能主机:硬件、环境与供电</w:t>
      </w:r>
    </w:p>
    <w:p>
      <w:pPr>
        <w:jc w:val="both"/>
      </w:pPr>
      <w:r>
        <w:rPr>
          <w:rFonts w:ascii="微软雅黑" w:hAnsi="微软雅黑" w:eastAsia="微软雅黑"/>
        </w:rPr>
        <w:t>承载采集端的硬件核心,是一台部署在船端的边缘智能主机。它一方面承担全船设备的统一接入、协议解析与数据标准化转发,是数据进入系统的第一道关口;另一方面内置算力,在船端就近完成异常识别、声学分析、虚拟感知与本地诊断等推理任务,即便在与岸端断联时,船端仍能维持基本的自治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8787"/>
            <w:shd w:val="clear" w:color="auto" w:fill="F2F5F9"/>
          </w:tcPr>
          <w:p>
            <w:pPr>
              <w:spacing w:before="520" w:after="520"/>
              <w:jc w:val="center"/>
            </w:pPr>
            <w:r>
              <w:rPr>
                <w:rFonts w:ascii="微软雅黑" w:hAnsi="微软雅黑" w:eastAsia="微软雅黑"/>
                <w:color w:val="AAAAAA"/>
                <w:sz w:val="18"/>
              </w:rPr>
              <w:t>产品图（待插入）</w:t>
            </w:r>
          </w:p>
        </w:tc>
      </w:tr>
    </w:tbl>
    <w:p>
      <w:pPr>
        <w:spacing w:after="200"/>
        <w:jc w:val="center"/>
      </w:pPr>
      <w:r>
        <w:rPr>
          <w:rFonts w:ascii="微软雅黑" w:hAnsi="微软雅黑" w:eastAsia="微软雅黑"/>
          <w:i/>
          <w:color w:val="666666"/>
          <w:sz w:val="18"/>
        </w:rPr>
        <w:t>图 1  AI+IoT 智能体 V2.0 边缘智能主机：国产灵汐类脑芯片、面向航运环境的全新机箱、多协议适配,满足 AIS、定位、罗经、雷达、推进等 50 余类设备接入</w:t>
      </w:r>
    </w:p>
    <w:p>
      <w:pPr>
        <w:jc w:val="both"/>
      </w:pPr>
      <w:r>
        <w:rPr>
          <w:rFonts w:ascii="微软雅黑" w:hAnsi="微软雅黑" w:eastAsia="微软雅黑"/>
        </w:rPr>
        <w:t>主机的算力核心采用国产灵汐类脑 AI 芯片,主控采用国产 8 核处理器。相较通用处理器,类脑架构在持续的边缘推理负载下兼顾算力与功耗,并针对工业现场作了适配。整机按航运现场要求设计,被动散热、无风扇,主要规格如下。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041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746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类脑算力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9"/>
              </w:rPr>
              <w:t>INT8 48 TOPS / FP16 24 TFLOPS;类脑架构,30MB 片上 SRAM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主控与内存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9"/>
              </w:rPr>
              <w:t>国产 8 核处理器,8GB LPDDR4x(支持 ECC)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基础环境与防护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9"/>
              </w:rPr>
              <w:t>工作温度 -20℃ ~ +60℃;防护等级 IP65;防水、防尘、防静电;被动散热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考虑到船上不同部位的环境差异较大,设备的安装与防护需按部位区分核算,不宜以单一规格覆盖全船。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安装部位</w:t>
            </w:r>
          </w:p>
        </w:tc>
        <w:tc>
          <w:tcPr>
            <w:tcW w:type="dxa" w:w="3572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环境特点</w:t>
            </w:r>
          </w:p>
        </w:tc>
        <w:tc>
          <w:tcPr>
            <w:tcW w:type="dxa" w:w="3402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适配要求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驾驶室</w:t>
            </w:r>
          </w:p>
        </w:tc>
        <w:tc>
          <w:tcPr>
            <w:tcW w:type="dxa" w:w="3572"/>
          </w:tcPr>
          <w:p>
            <w:r/>
            <w:r>
              <w:rPr>
                <w:rFonts w:ascii="微软雅黑" w:hAnsi="微软雅黑" w:eastAsia="微软雅黑"/>
                <w:sz w:val="19"/>
              </w:rPr>
              <w:t>温度温和、相对洁净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标准配置即可满足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机舱</w:t>
            </w:r>
          </w:p>
        </w:tc>
        <w:tc>
          <w:tcPr>
            <w:tcW w:type="dxa" w:w="3572"/>
          </w:tcPr>
          <w:p>
            <w:r/>
            <w:r>
              <w:rPr>
                <w:rFonts w:ascii="微软雅黑" w:hAnsi="微软雅黑" w:eastAsia="微软雅黑"/>
                <w:sz w:val="19"/>
              </w:rPr>
              <w:t>环境温度高(主机附近可达 55℃ 以上)、振动与油雾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远离热源安装、加强散热或高温降额;振动按 IEC 60945 核验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露天/开敞部位</w:t>
            </w:r>
          </w:p>
        </w:tc>
        <w:tc>
          <w:tcPr>
            <w:tcW w:type="dxa" w:w="3572"/>
          </w:tcPr>
          <w:p>
            <w:r/>
            <w:r>
              <w:rPr>
                <w:rFonts w:ascii="微软雅黑" w:hAnsi="微软雅黑" w:eastAsia="微软雅黑"/>
                <w:sz w:val="19"/>
              </w:rPr>
              <w:t>盐雾、潮湿、温度变化大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在 IP65 基础上补充盐雾防护(IEC 60068-2-52),必要时整机入箱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在供电与电磁兼容方面,整机采用 9–36V 直流输入,建议取自应急配电板或经 UPS 馈电,以保证主电网失电期间监控与关键告警不中断,断电保持时间在详细设计阶段确定;若船上为交流供电,需配置相应的电源转换。整机典型功耗约 45W,系统总供电与功耗汇总见附录 C。设备的电磁发射与抗扰按 IEC 60533 与 IEC 60945 相关要求设计与试验,并申请船级社产品认可(型式认可),以满足随船检验要求。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四、核心能力</w:t>
      </w:r>
    </w:p>
    <w:p>
      <w:pPr>
        <w:jc w:val="both"/>
      </w:pPr>
      <w:r>
        <w:rPr>
          <w:rFonts w:ascii="微软雅黑" w:hAnsi="微软雅黑" w:eastAsia="微软雅黑"/>
        </w:rPr>
        <w:t>如果说数据底座解决的是"设备到数据"的问题,那么本章所述的核心能力,解决的就是"数据到人机"的问题——把标准化的数据,转化为船员真正用得上的看、问、操、控。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4.1  底层数据处理</w:t>
      </w:r>
    </w:p>
    <w:p>
      <w:pPr>
        <w:jc w:val="both"/>
      </w:pPr>
      <w:r>
        <w:rPr>
          <w:rFonts w:ascii="微软雅黑" w:hAnsi="微软雅黑" w:eastAsia="微软雅黑"/>
        </w:rPr>
        <w:t>传统的船舶设备集成,往往依赖资深工程师在现场逐台编写解析脚本、反复调试,周期长、对人依赖重。本系统把这一过程模板化:针对不同的数据类型与协议类型预先建立解析模板,设备接入时自动或手动匹配相应模板,系统即可自动完成协议解析与端口映射。原本需要专家逐台处理的接入工作,就变成了可以批量推进的标准化作业,现场实施与交付周期被大幅压缩,对个别工程师的依赖也随之降低。</w:t>
      </w:r>
    </w:p>
    <w:p>
      <w:pPr>
        <w:jc w:val="both"/>
      </w:pPr>
      <w:r>
        <w:rPr>
          <w:rFonts w:ascii="微软雅黑" w:hAnsi="微软雅黑" w:eastAsia="微软雅黑"/>
        </w:rPr>
        <w:t>在接入的同时,系统会为每一台设备、每一个传感器打上两类标签:系统分类(例如动力系统、配电系统)与位置分类(例如主推舱、驾驶舱)。这两类标签为后续的 AI 分析提供了关键的结构化信息——当某处发生故障时,系统不再孤立地看待单台设备的报错,而能结合它所属的系统与所处的物理位置,判断故障的根源出在哪个舱室,以及可能沿系统链路波及到哪些上下游设备。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4.2  数据拓展运用</w:t>
      </w:r>
    </w:p>
    <w:p>
      <w:pPr>
        <w:jc w:val="both"/>
      </w:pPr>
      <w:r>
        <w:rPr>
          <w:rFonts w:ascii="微软雅黑" w:hAnsi="微软雅黑" w:eastAsia="微软雅黑"/>
        </w:rPr>
        <w:t>在实际营运中,部分采用 CAN 等协议的设备在某些工况下本就不发送数据,若简单地以"是否收到数据"判断在线与否,极易产生误报。为此系统对"离线"作了更贴近实际的定义:综合判断"是否收到数据"与"按当前工况是否应该有数据"。例如主发电机运行时系统期望冷却水泵上报数据,而当主发电机停机,水泵本就不应有数据,此时的静默属于正常状态。这一机制显著减少了无意义的离线告警。</w:t>
      </w:r>
    </w:p>
    <w:p>
      <w:pPr>
        <w:jc w:val="both"/>
      </w:pPr>
      <w:r>
        <w:rPr>
          <w:rFonts w:ascii="微软雅黑" w:hAnsi="微软雅黑" w:eastAsia="微软雅黑"/>
        </w:rPr>
        <w:t>设备数据只有结合船舶当前的工况才真正具备意义。系统通过分析对地航速、转速、航向变化率、侧推状态、对水航速等参数,自动识别船舶当前处于进出港机动、停泊系泊、正常航行还是无动力漂航四个阶段中的哪一个,从而为后续分析提供"船舶环境上下文"。有了这一上下文,同一组数据在不同工况下会被赋予不同含义,AI 的研判也就摆脱了脱离实际场景的机械判断。</w:t>
      </w:r>
    </w:p>
    <w:p>
      <w:pPr>
        <w:jc w:val="both"/>
      </w:pPr>
      <w:r>
        <w:rPr>
          <w:rFonts w:ascii="微软雅黑" w:hAnsi="微软雅黑" w:eastAsia="微软雅黑"/>
        </w:rPr>
        <w:t>在设备健康层面,系统为每一类设备设定熔断红线与短板扣分规则,据此实时计算 0 到 100 的健康评分。评分规则的阈值以设备厂家参数、历史基线与现场经验为依据设定,并支持按船型与设备现场调整。健康分一方面便于人员快速掌握设备退化状态,另一方面其时间序列为 AI 提供了"故障趋势"依据,是走向预测性维护的基础。</w:t>
      </w:r>
    </w:p>
    <w:p>
      <w:pPr>
        <w:jc w:val="both"/>
      </w:pPr>
      <w:r>
        <w:rPr>
          <w:rFonts w:ascii="微软雅黑" w:hAnsi="微软雅黑" w:eastAsia="微软雅黑"/>
        </w:rPr>
        <w:t>针对以往告警"一股脑全部弹出、抓不住重点"的问题,系统按设备报错的致命程度建立三级分层:P0 紧急告警对应触碰物理红线的情形,瞬时触发,要求立即处置;P1 异常预警针对带有一定时间防抖的趋势性恶化,提醒及时排查;P2 运行提示则是轻微的基准偏离,后台静默记录。</w:t>
      </w:r>
      <w:r>
        <w:rPr>
          <w:rFonts w:ascii="微软雅黑" w:hAnsi="微软雅黑" w:eastAsia="微软雅黑"/>
          <w:b/>
        </w:rPr>
        <w:t>需要明确的是,本系统的告警分级面向辅助决策与运维,不替代船上法定的报警监控系统,而是与之并行、以更易聚焦的方式呈现,避免在紧急时刻造成信息过载。</w:t>
      </w:r>
      <w:r>
        <w:rPr>
          <w:rFonts w:ascii="微软雅黑" w:hAnsi="微软雅黑" w:eastAsia="微软雅黑"/>
        </w:rPr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4.3  交互体验</w:t>
      </w:r>
    </w:p>
    <w:p>
      <w:pPr>
        <w:jc w:val="both"/>
      </w:pPr>
      <w:r>
        <w:rPr>
          <w:rFonts w:ascii="微软雅黑" w:hAnsi="微软雅黑" w:eastAsia="微软雅黑"/>
        </w:rPr>
        <w:t>前端大屏与设备详情页经过专门优化,每个设备信息卡片上都设有一个健康分色点,使用者只需扫一眼首页,看到哪一处的色点由绿转黄,便能立刻定位到需要关注的设备,系统的上手门槛因此大幅降低。</w:t>
      </w:r>
    </w:p>
    <w:p>
      <w:pPr>
        <w:jc w:val="both"/>
      </w:pPr>
      <w:r>
        <w:rPr>
          <w:rFonts w:ascii="微软雅黑" w:hAnsi="微软雅黑" w:eastAsia="微软雅黑"/>
        </w:rPr>
        <w:t>系统为平台的 AI 助手配备了三项跨设备的数据获取能力——航向状态、设备分类标签及其数据、设备健康分细则及趋势,使其具备多参数融合分析的能力。AI 不再只盯着报错的那一台设备,而是结合关联系统的状态、船舶当前所处的环境,以及健康分的下滑趋势进行综合研判。举例而言,当主推进系统温度偏高、同时发电机处于大负载状态时,系统能够据此判断更可能是螺旋桨卡死引发的连锁反应,而非单纯的冷却故障,从而给出更具实操指导意义的处置建议。</w:t>
      </w:r>
    </w:p>
    <w:p>
      <w:pPr>
        <w:jc w:val="both"/>
      </w:pPr>
      <w:r>
        <w:rPr>
          <w:rFonts w:ascii="微软雅黑" w:hAnsi="微软雅黑" w:eastAsia="微软雅黑"/>
        </w:rPr>
        <w:t>情境化的问答进一步降低了沟通成本:若某台设备此前发生过报警并经 AI 诊断,后续问询时系统会自动带上上一轮的诊断报告、当前界面停留的设备语境、历史对话与即时输入,使 AI 能够听懂船员在紧急情况下的模糊提问,而不必要求对方反复交代背景。</w:t>
      </w:r>
      <w:r>
        <w:rPr>
          <w:rFonts w:ascii="微软雅黑" w:hAnsi="微软雅黑" w:eastAsia="微软雅黑"/>
          <w:b/>
        </w:rPr>
        <w:t>需要说明的是,AI 诊断与未知设备识别均定位为辅助手段,其输出为参考建议而非处置依据,最终由人确认;诊断与识别的准确率将在实船阶段持续标定,本地模型在船端运行,涉及外部 AI 工作流时按数据安全要求作本地化或脱敏处理。</w:t>
      </w:r>
      <w:r>
        <w:rPr>
          <w:rFonts w:ascii="微软雅黑" w:hAnsi="微软雅黑" w:eastAsia="微软雅黑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8787"/>
            <w:shd w:val="clear" w:color="auto" w:fill="F2F5F9"/>
          </w:tcPr>
          <w:p>
            <w:pPr>
              <w:spacing w:before="520" w:after="520"/>
              <w:jc w:val="center"/>
            </w:pPr>
            <w:r>
              <w:rPr>
                <w:rFonts w:ascii="微软雅黑" w:hAnsi="微软雅黑" w:eastAsia="微软雅黑"/>
                <w:color w:val="AAAAAA"/>
                <w:sz w:val="18"/>
              </w:rPr>
              <w:t>产品图（待插入）</w:t>
            </w:r>
          </w:p>
        </w:tc>
      </w:tr>
    </w:tbl>
    <w:p>
      <w:pPr>
        <w:spacing w:after="200"/>
        <w:jc w:val="center"/>
      </w:pPr>
      <w:r>
        <w:rPr>
          <w:rFonts w:ascii="微软雅黑" w:hAnsi="微软雅黑" w:eastAsia="微软雅黑"/>
          <w:i/>
          <w:color w:val="666666"/>
          <w:sz w:val="18"/>
        </w:rPr>
        <w:t>图 2  IOT 平台与 IOT Pad 交互界面：设备详情、流量与转速、电压与温度、趋势曲线等实时监控</w:t>
      </w:r>
    </w:p>
    <w:p>
      <w:pPr>
        <w:jc w:val="both"/>
      </w:pPr>
      <w:r>
        <w:rPr>
          <w:rFonts w:ascii="微软雅黑" w:hAnsi="微软雅黑" w:eastAsia="微软雅黑"/>
        </w:rPr>
        <w:t>归纳而言,系统能力围绕"看、问、操、控"四条主线展开:看,是统一的可视化与视频呈现;问,是 AI 的跨设备融合诊断与情境问答;操,是即插即用的接入与移动终端上的现场闭环;控,则是下一节详述的、可分级的设备控制。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五、控制与 AI 责任边界</w:t>
      </w:r>
    </w:p>
    <w:p>
      <w:pPr>
        <w:jc w:val="both"/>
      </w:pPr>
      <w:r>
        <w:rPr>
          <w:rFonts w:ascii="微软雅黑" w:hAnsi="微软雅黑" w:eastAsia="微软雅黑"/>
        </w:rPr>
        <w:t>当 AI 的能力延伸到对船舶的控制时,真正需要回答的问题不是"把控制权交给谁",而是"如何让 AI 的判断按照风险与可信程度,经过严格把关,逐级、可控地转化为实际动作"。本系统采用自有的分级控制方案,由系统自身完成从风险研判到控制输出的完整闭环,并以分级、可仲裁、可降级三项原则贯穿其中。</w:t>
      </w:r>
    </w:p>
    <w:p>
      <w:pPr>
        <w:jc w:val="both"/>
      </w:pPr>
      <w:r>
        <w:rPr>
          <w:rFonts w:ascii="微软雅黑" w:hAnsi="微软雅黑" w:eastAsia="微软雅黑"/>
        </w:rPr>
        <w:t>在这一闭环中,AI 承担感知融合、风险评分与研判建议:它将多源数据融合为统一态势,给出一个介于 0 与 1 之间的风险评分,并据此提出建议或辅助动作及其置信度。AI 不会无条件、也不会直接接管真实执行;对火警、进水检测这类法定安全系统,AI 的作用是减少误报、辅助定位、提高感知先验,而非取代。最终的确认与值守始终保留在人这一侧,系统的全部动作均可回放、可审计、可追溯。</w:t>
      </w:r>
    </w:p>
    <w:p>
      <w:pPr>
        <w:jc w:val="both"/>
      </w:pPr>
      <w:r>
        <w:rPr>
          <w:rFonts w:ascii="微软雅黑" w:hAnsi="微软雅黑" w:eastAsia="微软雅黑"/>
        </w:rPr>
        <w:t>控制权限按风险高低分为四档,由风险评分、置信度、当前运行设计域(ODD)以及关键传感器的健康状况共同决定。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361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控制模式</w:t>
            </w:r>
          </w:p>
        </w:tc>
        <w:tc>
          <w:tcPr>
            <w:tcW w:type="dxa" w:w="317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94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典型输出</w:t>
            </w:r>
          </w:p>
        </w:tc>
        <w:tc>
          <w:tcPr>
            <w:tcW w:type="dxa" w:w="130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是否需要人确认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9"/>
              </w:rPr>
              <w:t>建议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风险评分低于 0.55,或置信度不足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在人机界面给出航向、航速建议与报警提示</w:t>
            </w:r>
          </w:p>
        </w:tc>
        <w:tc>
          <w:tcPr>
            <w:tcW w:type="dxa" w:w="1304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9"/>
              </w:rPr>
              <w:t>辅助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风险评分介于 0.55 至 0.75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叠加增强显示,自动限制危险命令,建议侧推或减速</w:t>
            </w:r>
          </w:p>
        </w:tc>
        <w:tc>
          <w:tcPr>
            <w:tcW w:type="dxa" w:w="1304"/>
          </w:tcPr>
          <w:p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9"/>
              </w:rPr>
              <w:t>自动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风险评分介于 0.75 至 0.90,且处于 ODD 内、关键传感器健康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自动避碰、减速、保持航道、靠泊微调</w:t>
            </w:r>
          </w:p>
        </w:tc>
        <w:tc>
          <w:tcPr>
            <w:tcW w:type="dxa" w:w="1304"/>
          </w:tcPr>
          <w:p>
            <w:r/>
            <w:r>
              <w:rPr>
                <w:rFonts w:ascii="微软雅黑" w:hAnsi="微软雅黑" w:eastAsia="微软雅黑"/>
                <w:sz w:val="19"/>
              </w:rPr>
              <w:t>视场景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9"/>
              </w:rPr>
              <w:t>远控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风险评分不低于 0.90,或出现复合异常,且通信正常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9"/>
              </w:rPr>
              <w:t>转入岸基远程接管,船端保留安全壳</w:t>
            </w:r>
          </w:p>
        </w:tc>
        <w:tc>
          <w:tcPr>
            <w:tcW w:type="dxa" w:w="1304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由岸基值守生效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5.1  控制接口与安全独立性</w:t>
      </w:r>
    </w:p>
    <w:p>
      <w:pPr>
        <w:jc w:val="both"/>
      </w:pPr>
      <w:r>
        <w:rPr>
          <w:rFonts w:ascii="微软雅黑" w:hAnsi="微软雅黑" w:eastAsia="微软雅黑"/>
        </w:rPr>
        <w:t>本系统对舵机、主机、侧推等执行机构的任何控制输出,均通过独立的、可获船级社认可的控制接口下达,并与船上既有的、已获认可的推进遥控、舵机控制与集成报警系统保持功能独立。其设计遵循三条原则。其一,本系统为辅助与叠加,不剥夺原控制系统的最终控制权与安全联锁,船员与原系统始终可在任意时刻接管。其二,本系统的任何故障——死机、误输出或断电——都不得降低原系统既有的安全等级,接口侧设置独立的限幅、互锁与故障弱化(fail-to-safe)。其三,控制写入通道与监测采集通道在物理与逻辑上分离,采集通道的异常不会传导到控制通道。控制接口的具体形式、隔离与互锁,将结合目标船的既有自动化系统,在详细设计阶段与船厂、船级社共同确认。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5.2  危害分析与失效处置</w:t>
      </w:r>
    </w:p>
    <w:p>
      <w:pPr>
        <w:jc w:val="both"/>
      </w:pPr>
      <w:r>
        <w:rPr>
          <w:rFonts w:ascii="微软雅黑" w:hAnsi="微软雅黑" w:eastAsia="微软雅黑"/>
        </w:rPr>
        <w:t>为支撑涉控功能的安全论证,系统在详细设计阶段开展危害识别(HAZID)与失效模式及影响分析(FMEA/FMECA),覆盖传感器失效、数据失真、误诊断、误控制、通信中断与网络入侵等场景,并为每类失效定义明确的安全终态。控制四档的风险阈值(0.55 / 0.75 / 0.90)为初始工程取值,将依据实船数据与危害分析结果标定,并支持现场按船型与航区调整。系统的整体设计原则,是在出现问题时始终向安全一侧倾斜,主要失效模式的处置策略如下。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失效模式</w:t>
            </w:r>
          </w:p>
        </w:tc>
        <w:tc>
          <w:tcPr>
            <w:tcW w:type="dxa" w:w="260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检测信号</w:t>
            </w:r>
          </w:p>
        </w:tc>
        <w:tc>
          <w:tcPr>
            <w:tcW w:type="dxa" w:w="4252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安全终态/处置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通信中断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心跳丢失、链路超时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船端本地自治,禁止新的远控写入,切换备用链路,恢复后重建控制租约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关键传感器失效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连续超时、漂移、健康位异常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调整多源融合权重,降低自动化等级,必要时退回辅助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卫星定位欺骗/失锁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一致性检查、残差异常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切换惯性导航,禁止高等级自动航行,要求人工确认定位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误诊断/不确定度过高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置信度低、数据源冲突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降级为仅提供建议,保留原始视图供人判断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控制接口异常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写入超时、校验失败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接口侧故障弱化,交还原系统,进入安全态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网络入侵迹象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签名失效、异常流量、越权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9"/>
              </w:rPr>
              <w:t>锁定远控写入,告警并审计,切入本地自治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5.3  自动化的分级演进</w:t>
      </w:r>
    </w:p>
    <w:p>
      <w:pPr>
        <w:jc w:val="both"/>
      </w:pPr>
      <w:r>
        <w:rPr>
          <w:rFonts w:ascii="微软雅黑" w:hAnsi="微软雅黑" w:eastAsia="微软雅黑"/>
        </w:rPr>
        <w:t>在自动化程度的演进上,系统遵循循序渐进的路线,从决策支持起步,经由有人监督的自动驾驶,逐步走向特定运行设计域下的远程接管与高等级自主,而不追求一步到位的"全场景自主"。落到本项目,务实的路径是先实现风险预测与辅助操控,并在港区、重复航线等受限工况下验证自动靠泊与自动避碰,再逐步向更高自动化扩展。这一思路与国际海事组织关于海上自主水面船舶(MASS)的分级演进方向一致,相关自动化等级的认可路径在第九节规范符合性中说明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六、可靠性、冗余与可用性</w:t>
      </w:r>
    </w:p>
    <w:p>
      <w:pPr>
        <w:jc w:val="both"/>
      </w:pPr>
      <w:r>
        <w:rPr>
          <w:rFonts w:ascii="微软雅黑" w:hAnsi="微软雅黑" w:eastAsia="微软雅黑"/>
        </w:rPr>
        <w:t>本系统面向实船长期运行,可靠性从软件与硬件两个层面设计。软件层面,消息客户端支持自动重连,数据库、缓存与消息中间件支持容器级重启恢复,动态绑定与识别结果可经数据库或缓存恢复,采集日志滚动归档。硬件与系统层面,针对"单台边缘主机汇聚全船数据"可能形成的单点,采取以下措施:关键监控与告警通道在设计上不完全依赖单一主机,可按船型配置双机热备或主备切换,任一主机故障时由另一台接管核心监控;边缘主机配置硬件看门狗,异常时自动重启并告警;整机供电取自应急配电板或经 UPS 馈电,保证主电网失电期间监控与关键告警不中断。</w:t>
      </w:r>
    </w:p>
    <w:p>
      <w:pPr>
        <w:jc w:val="both"/>
      </w:pPr>
      <w:r>
        <w:rPr>
          <w:rFonts w:ascii="微软雅黑" w:hAnsi="微软雅黑" w:eastAsia="微软雅黑"/>
        </w:rPr>
        <w:t>船岸通信采用双链路冗余与断链续传机制:断链期间船端转入本地自治、数据本地缓存,链路恢复后补传,确保岸端数据最终一致。系统设定可用度目标并给出平均无故障时间(MTBF)估算,作为验收依据,主要可用性指标如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551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指标项</w:t>
            </w:r>
          </w:p>
        </w:tc>
        <w:tc>
          <w:tcPr>
            <w:tcW w:type="dxa" w:w="6236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目标(详细设计阶段最终确定)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9"/>
              </w:rPr>
              <w:t>监控系统可用度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99.x%(按船东要求确定)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关键告警通道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不依赖单点,支持双机/主备切换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9"/>
              </w:rPr>
              <w:t>供电保障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应急配电板或 UPS 馈电,断电保持时间满足关键告警需要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9"/>
              </w:rPr>
              <w:t>船岸数据一致性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断链续传,链路恢复后最终一致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平均修复时间(MTTR)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模块化可更换,关键部件现场可换,设定 MTTR 目标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七、网络安全(对标 IACS UR E26 / E27)</w:t>
      </w:r>
    </w:p>
    <w:p>
      <w:pPr>
        <w:jc w:val="both"/>
      </w:pPr>
      <w:r>
        <w:rPr>
          <w:rFonts w:ascii="微软雅黑" w:hAnsi="微软雅黑" w:eastAsia="微软雅黑"/>
        </w:rPr>
        <w:t>鉴于本系统涉及控制写入,网络安全被作为安全关键问题对待。设计对标 IACS 统一要求 UR E26(船舶网络安全韧性)与 UR E27(船载系统与设备网络安全韧性),并衔接国际海事组织海事网络风险管理要求与船级社相关规范。主要措施包括:在网络架构上划分 OT(控制与采集)与 IT(管理与对外)安全区,区间采用受控边界与单向数据隔离思路,控制区不直接暴露于对外网络;对远程控制链路实施命令签名、白名单主题与控制租约,只接受符合既定 schema 的指令,并对来源、时间与参数全程留痕;对账户与接口实施分级权限与访问控制,消息总线、数据库、缓存与服务端接口均配置强口令;对船岸通信补充传输加密、身份认证与访问白名单;限制容器运行时与宿主机设备权限暴露,避免高权限运行。系统在详细设计阶段提供专门的网络安全方案与威胁分析,并将安全测试纳入工厂验收与码头试验项目。网络分区与边界详见附录 A 拓扑图。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八、国产化与信创</w:t>
      </w:r>
    </w:p>
    <w:p>
      <w:pPr>
        <w:jc w:val="both"/>
      </w:pPr>
      <w:r>
        <w:rPr>
          <w:rFonts w:ascii="微软雅黑" w:hAnsi="微软雅黑" w:eastAsia="微软雅黑"/>
        </w:rPr>
        <w:t>在算力与硬件层面,核心算力的国产化已经落地:边缘主机采用国产灵汐类脑 AI 芯片(INT8 48 TOPS / FP16 24 TFLOPS)与国产 8 核处理器。系统支持本地化部署、内网运行、离线推理与数据不外传,核心运行、运维与控制反馈数据均保留在本地;整体上构建了边缘、本地服务器与 AI 推理三级算力。</w:t>
      </w:r>
    </w:p>
    <w:p>
      <w:pPr>
        <w:jc w:val="both"/>
      </w:pPr>
      <w:r>
        <w:rPr>
          <w:rFonts w:ascii="微软雅黑" w:hAnsi="微软雅黑" w:eastAsia="微软雅黑"/>
        </w:rPr>
        <w:t>在基础软件层面,系统遵循开放兼容与可替代的原则。当前实现采用成熟的开源数据与中间件组合(关系库、时序库、缓存、对象存储)。面向信创要求的项目,系统可在不改变上层接口契约的前提下,迁移至国产信创数据库(如 openGauss、达梦、人大金仓等)、国产操作系统与国产中间件。需要客观说明的是,开源组件本身并不等同于信创认证产品;本系统通过"接口契约稳定、底层组件可替换"的设计为信创适配预留了路径,具体的适配清单与认证以项目要求为准。涉及 AI 分析、知识库问答与故障研判的能力,优先采用本地私有化的大模型与检索增强方式,输出可追溯、可由人工确认。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九、规范符合性</w:t>
      </w:r>
    </w:p>
    <w:p>
      <w:pPr>
        <w:jc w:val="both"/>
      </w:pPr>
      <w:r>
        <w:rPr>
          <w:rFonts w:ascii="微软雅黑" w:hAnsi="微软雅黑" w:eastAsia="微软雅黑"/>
        </w:rPr>
        <w:t>本系统以实船应用并申请船级社认证为目标,在设计阶段即对标相关规范。具体适用条款、附加标志与认可路径在项目立项后,与船东、船厂、船级社共同确定;下表为设计阶段的对标框架,而非已获认可的声明。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领域</w:t>
            </w:r>
          </w:p>
        </w:tc>
        <w:tc>
          <w:tcPr>
            <w:tcW w:type="dxa" w:w="260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主要规范 / 依据</w:t>
            </w:r>
          </w:p>
        </w:tc>
        <w:tc>
          <w:tcPr>
            <w:tcW w:type="dxa" w:w="3061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本系统对应措施</w:t>
            </w:r>
          </w:p>
        </w:tc>
        <w:tc>
          <w:tcPr>
            <w:tcW w:type="dxa" w:w="164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验证方式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智能船舶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CCS《智能船舶规范》(智能航行/智能机舱/智能集成平台等附加标志)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设备接入、监控、健康评分、辅助决策与分级控制的功能与边界设计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图纸审查、设备认可、随船检验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设备环境与 EMC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IEC 60945、IACS UR E10、IEC 60533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工业级三防、按部位环境适配、供电与 EMC 设计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型式试验 / 产品认可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数字接口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IEC 61162(NMEA)系列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旁路、隔离、只读接入,不加载既有总线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接口测试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网络安全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IACS UR E26 / E27、IMO 海事网络风险管理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OT/IT 分区、远控命令签名与租约、留痕审计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安全方案审查 + 安全测试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自动化与远控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IMO MASS 渐进路线、船级社自动化/远控相关指南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四档分级控制、人始终可接管、fail-safe、安全独立性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危害分析 + 试验验证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法定安全系统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9"/>
              </w:rPr>
              <w:t>SOLAS II-1 / II-2 / V 及法定报警、火警与进水检测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告警为辅助层、AI 增强而非替代法定系统</w:t>
            </w:r>
          </w:p>
        </w:tc>
        <w:tc>
          <w:tcPr>
            <w:tcW w:type="dxa" w:w="1644"/>
          </w:tcPr>
          <w:p>
            <w:r/>
            <w:r>
              <w:rPr>
                <w:rFonts w:ascii="微软雅黑" w:hAnsi="微软雅黑" w:eastAsia="微软雅黑"/>
                <w:sz w:val="19"/>
              </w:rPr>
              <w:t>符合性核查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十、差异化优势</w:t>
      </w:r>
    </w:p>
    <w:p>
      <w:pPr>
        <w:jc w:val="both"/>
      </w:pPr>
      <w:r>
        <w:rPr>
          <w:rFonts w:ascii="微软雅黑" w:hAnsi="微软雅黑" w:eastAsia="微软雅黑"/>
        </w:rPr>
        <w:t>与传统的多厂家分散集成相比,本系统的差异并不止于"功能更多",而体现在交付模式、扩展逻辑、AI 形态与可控可信四个维度上的根本不同。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47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智能船机交互系统</w:t>
            </w:r>
          </w:p>
        </w:tc>
        <w:tc>
          <w:tcPr>
            <w:tcW w:type="dxa" w:w="334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传统集成方案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交付模式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软硬件一体,由一家整合交付,责任单一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9"/>
              </w:rPr>
              <w:t>软硬件碎片,多家拼装,责任分散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扩展逻辑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站在受控的接口契约之上,低成本新增设备与场景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9"/>
              </w:rPr>
              <w:t>一船一造,重复改造,牵一发而动全身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形态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原生,以工况上下文驱动跨设备融合诊断,且边界清晰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9"/>
              </w:rPr>
              <w:t>传统人机界面,单设备看数据,AI 事后挂载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可控可信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核心算力国产化、本地化部署、数据不外传、涉控边界清晰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9"/>
              </w:rPr>
              <w:t>依赖国外芯片与生态,存在数据外传顾虑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在这些之外,还有三点值得强调。其一,负责任的 AI 边界本身就是一种竞争力:对船级社与安全责任主体而言,一套"看得清、却不越界,关键动作始终由人确认、且与法定系统保持独立"的系统,反而更值得信赖。其二,人机交互是公司的长期积累——智能座舱与人机交互的设计能力被引入到船舶领域,使本系统在界面、操作与体验上具备天然功底。其三,系统按监管规则原生设计而非事后适配,这为后续在实船基础上推进船级社认证创造了有利条件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十一、实施、交付与验收</w:t>
      </w:r>
    </w:p>
    <w:p>
      <w:pPr>
        <w:jc w:val="both"/>
      </w:pPr>
      <w:r>
        <w:rPr>
          <w:rFonts w:ascii="微软雅黑" w:hAnsi="微软雅黑" w:eastAsia="微软雅黑"/>
        </w:rPr>
        <w:t>项目按"先打通、再闭环、后增强"的思路分三步推进,每一步都有明确的交付内容与量化验收口径,且步步之间可独立验收。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134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4819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实施内容</w:t>
            </w:r>
          </w:p>
        </w:tc>
        <w:tc>
          <w:tcPr>
            <w:tcW w:type="dxa" w:w="283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验收口径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第一步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在目标船舶完成边缘主机与基础环境部署,实现已知设备的接入、采集、解析与落库,前端可查询实时与历史数据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基础链路稳定运行不少于 30 天;关键设备数据采样完整率不低于 99%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第二步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完善设备台账、端口绑定、实时监控、告警分级与确认,形成可用的监管与运维入口,并按需对接岸端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客户可日常使用的监控与运维入口;告警确认闭环可用;满足相关报建与接口要求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第三步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推进全船软硬件一体、健康评分与 AI 诊断,扩展遥控与船岸协同,并形成标准化复制能力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完成标准化复制方案;具备向同型船推广与岸基中心联调的条件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微软雅黑" w:hAnsi="微软雅黑" w:eastAsia="微软雅黑"/>
        </w:rPr>
        <w:t>交付过程设置三级试验:工厂验收试验(FAT)验证功能、接口与网络安全测试;码头/系泊试验(HAT)验证实船接入、供电与电磁兼容共存、告警与监控;航行试验(SAT)在真实航况下验证监控、健康评分、辅助决策与在限定运行设计域内的控制功能。每级试验给出量化通过判据,试验大纲在详细设计阶段细化。各阶段之间设清晰的退出机制:若某一步验收不满意,可随时协商调整,而不影响已交付模块的使用,以小步快跑的方式分散一次性投入风险。</w:t>
      </w:r>
    </w:p>
    <w:p>
      <w:pPr>
        <w:jc w:val="both"/>
      </w:pPr>
      <w:r>
        <w:rPr>
          <w:rFonts w:ascii="微软雅黑" w:hAnsi="微软雅黑" w:eastAsia="微软雅黑"/>
        </w:rPr>
        <w:t>在可维护性方面,系统采用模块化、可现场更换的设计,提供备件策略、平均修复时间目标、远程运维通道(在网络安全边界内)以及船员操作培训与运维资料。上文提及的管理成本下降约 50%、交付周期缩短约 60%、运维成本下降约 55%,其对比基准为传统多厂家分散集成方式,测算口径与样本将随项目一并提供,作为可质询的依据。</w:t>
      </w:r>
    </w:p>
    <w:p>
      <w:pPr>
        <w:jc w:val="both"/>
      </w:pPr>
      <w:r>
        <w:rPr>
          <w:rFonts w:ascii="微软雅黑" w:hAnsi="微软雅黑" w:eastAsia="微软雅黑"/>
        </w:rPr>
        <w:t>整个实施以实船应用为牵引:系统在目标营运船舶上完成安装、联调与不少于 30 天的稳定运行后,即具备真实、连续的运行数据与现场验证记录;在此基础上,按船级社相关规范推进 CCS 认证,使产品在实船验证与规范认证两条线上同步成熟。对船东而言,这意味着所采用的不是一套停留在实验室的方案,而是一套经过实船检验、并正走向规范认证的系统。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十二、相关材料</w:t>
      </w:r>
    </w:p>
    <w:p>
      <w:pPr>
        <w:jc w:val="both"/>
      </w:pPr>
      <w:r>
        <w:rPr>
          <w:rFonts w:ascii="微软雅黑" w:hAnsi="微软雅黑" w:eastAsia="微软雅黑"/>
        </w:rPr>
        <w:t>与本方案配套,另有一份《船舶态势感知与远程控制落地技术方案》单独提供,系统阐述了以视觉识别为核心,融合雷达、激光雷达、AIS、卫星定位与惯导、气象与海流等多源数据的感知体系,以及在此之上的时间同步与总线设计、多层数据融合、风险评分模型、典型风险场景处置与自动驾驶的分级演进。本方案第五节所述的控制与 AI 责任边界,与该材料中的分级控制方案同源、口径一致。如需开展更深入的专项评审,可单独提供该材料。</w:t>
      </w:r>
    </w:p>
    <w:p>
      <w:pPr>
        <w:spacing w:before="320" w:after="120"/>
        <w:pBdr>
          <w:bottom w:val="single" w:sz="6" w:space="4" w:color="164E8C"/>
        </w:pBdr>
      </w:pPr>
      <w:r>
        <w:rPr>
          <w:rFonts w:ascii="微软雅黑" w:hAnsi="微软雅黑" w:eastAsia="微软雅黑"/>
          <w:b/>
          <w:color w:val="164E8C"/>
          <w:sz w:val="30"/>
        </w:rPr>
        <w:t>附录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附录 A  系统总体框图与网络拓扑图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8787"/>
            <w:shd w:val="clear" w:color="auto" w:fill="F2F5F9"/>
          </w:tcPr>
          <w:p>
            <w:pPr>
              <w:spacing w:before="520" w:after="520"/>
              <w:jc w:val="center"/>
            </w:pPr>
            <w:r>
              <w:rPr>
                <w:rFonts w:ascii="微软雅黑" w:hAnsi="微软雅黑" w:eastAsia="微软雅黑"/>
                <w:color w:val="AAAAAA"/>
                <w:sz w:val="18"/>
              </w:rPr>
              <w:t>框图（待补）</w:t>
            </w:r>
          </w:p>
        </w:tc>
      </w:tr>
    </w:tbl>
    <w:p>
      <w:pPr>
        <w:spacing w:after="200"/>
        <w:jc w:val="center"/>
      </w:pPr>
      <w:r>
        <w:rPr>
          <w:rFonts w:ascii="微软雅黑" w:hAnsi="微软雅黑" w:eastAsia="微软雅黑"/>
          <w:i/>
          <w:color w:val="666666"/>
          <w:sz w:val="18"/>
        </w:rPr>
        <w:t>图 A-1  系统总体框图（采集端—消息总线—服务中台—存储—前端/AI—运维）与 OT/IT 网络分区拓扑</w:t>
      </w: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附录 B  对外接口清单(ICD)</w:t>
      </w:r>
    </w:p>
    <w:p>
      <w:pPr>
        <w:jc w:val="both"/>
      </w:pPr>
      <w:r>
        <w:rPr>
          <w:rFonts w:ascii="微软雅黑" w:hAnsi="微软雅黑" w:eastAsia="微软雅黑"/>
        </w:rPr>
        <w:t>对外物理与逻辑接口清单,逐项列明接口名称、类型、信号、隔离方式与协议,作为现场安装与船检的依据,随详细设计提供。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接口类别</w:t>
            </w:r>
          </w:p>
        </w:tc>
        <w:tc>
          <w:tcPr>
            <w:tcW w:type="dxa" w:w="402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典型形式</w:t>
            </w:r>
          </w:p>
        </w:tc>
        <w:tc>
          <w:tcPr>
            <w:tcW w:type="dxa" w:w="2835"/>
            <w:shd w:val="clear" w:color="auto" w:fill="164E8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隔离 / 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现场设备接入</w:t>
            </w:r>
          </w:p>
        </w:tc>
        <w:tc>
          <w:tcPr>
            <w:tcW w:type="dxa" w:w="4025"/>
          </w:tcPr>
          <w:p>
            <w:r/>
            <w:r>
              <w:rPr>
                <w:rFonts w:ascii="微软雅黑" w:hAnsi="微软雅黑" w:eastAsia="微软雅黑"/>
                <w:sz w:val="19"/>
              </w:rPr>
              <w:t>串口、网口、CAN、485、IO 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旁路、隔离、只读,不加载既有总线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控制输出</w:t>
            </w:r>
          </w:p>
        </w:tc>
        <w:tc>
          <w:tcPr>
            <w:tcW w:type="dxa" w:w="4025"/>
          </w:tcPr>
          <w:p>
            <w:r/>
            <w:r>
              <w:rPr>
                <w:rFonts w:ascii="微软雅黑" w:hAnsi="微软雅黑" w:eastAsia="微软雅黑"/>
                <w:sz w:val="19"/>
              </w:rPr>
              <w:t>至既有舵机/主机/侧推控制系统的独立接口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独立限幅、互锁、故障弱化;与采集通道分离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对外数据接口</w:t>
            </w:r>
          </w:p>
        </w:tc>
        <w:tc>
          <w:tcPr>
            <w:tcW w:type="dxa" w:w="4025"/>
          </w:tcPr>
          <w:p>
            <w:r/>
            <w:r>
              <w:rPr>
                <w:rFonts w:ascii="微软雅黑" w:hAnsi="微软雅黑" w:eastAsia="微软雅黑"/>
                <w:sz w:val="19"/>
              </w:rPr>
              <w:t>REST / WebSocket / SSE / 在线文档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分级鉴权、访问控制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船岸通信</w:t>
            </w:r>
          </w:p>
        </w:tc>
        <w:tc>
          <w:tcPr>
            <w:tcW w:type="dxa" w:w="4025"/>
          </w:tcPr>
          <w:p>
            <w:r/>
            <w:r>
              <w:rPr>
                <w:rFonts w:ascii="微软雅黑" w:hAnsi="微软雅黑" w:eastAsia="微软雅黑"/>
                <w:sz w:val="19"/>
              </w:rPr>
              <w:t>卫通 / 4G / 5G(双链路冗余)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传输加密、身份认证、白名单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微软雅黑" w:hAnsi="微软雅黑" w:eastAsia="微软雅黑"/>
          <w:b/>
          <w:color w:val="0B7A6E"/>
          <w:sz w:val="24"/>
        </w:rPr>
        <w:t>附录 C  设备配置清单与供电、功耗汇总</w:t>
      </w:r>
    </w:p>
    <w:p>
      <w:pPr>
        <w:jc w:val="both"/>
      </w:pPr>
      <w:r>
        <w:rPr>
          <w:rFonts w:ascii="微软雅黑" w:hAnsi="微软雅黑" w:eastAsia="微软雅黑"/>
        </w:rPr>
        <w:t>设备配置清单(BOM)、各设备供电方式与功耗汇总、电缆与安装要求,随详细设计与现场复勘确定后提供。</w:t>
      </w:r>
    </w:p>
    <w:p>
      <w:pPr>
        <w:spacing w:before="280"/>
        <w:jc w:val="center"/>
      </w:pPr>
      <w:r>
        <w:rPr>
          <w:rFonts w:ascii="微软雅黑" w:hAnsi="微软雅黑" w:eastAsia="微软雅黑"/>
          <w:color w:val="666666"/>
          <w:sz w:val="17"/>
        </w:rPr>
        <w:t>本文为产品级技术方案,具体参数、接口与配置以详细设计、合同约定及现场复勘为准。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