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jc w:val="center"/>
      </w:pPr>
      <w:r>
        <w:rPr>
          <w:rFonts w:ascii="微软雅黑" w:hAnsi="微软雅黑" w:eastAsia="微软雅黑"/>
          <w:b/>
          <w:color w:val="164E8C"/>
          <w:sz w:val="60"/>
        </w:rPr>
        <w:t>智能船机交互系统</w:t>
      </w:r>
    </w:p>
    <w:p>
      <w:pPr>
        <w:jc w:val="center"/>
      </w:pPr>
      <w:r>
        <w:rPr>
          <w:rFonts w:ascii="微软雅黑" w:hAnsi="微软雅黑" w:eastAsia="微软雅黑"/>
          <w:color w:val="0B7A6E"/>
          <w:sz w:val="34"/>
        </w:rPr>
        <w:t>核心产品技术方案</w:t>
      </w:r>
    </w:p>
    <w:p>
      <w:pPr>
        <w:jc w:val="center"/>
      </w:pPr>
      <w:r>
        <w:rPr>
          <w:rFonts w:ascii="微软雅黑" w:hAnsi="微软雅黑" w:eastAsia="微软雅黑"/>
          <w:color w:val="666666"/>
          <w:sz w:val="23"/>
        </w:rPr>
        <w:t>软硬件一体的船端人机协同驾控中枢</w:t>
      </w:r>
    </w:p>
    <w:p/>
    <w:p/>
    <w:tbl>
      <w:tblPr>
        <w:tblW w:type="auto" w:w="0"/>
        <w:jc w:val="center"/>
        <w:tblLook w:firstColumn="1" w:firstRow="1" w:lastColumn="0" w:lastRow="0" w:noHBand="0" w:noVBand="1" w:val="04A0"/>
      </w:tblPr>
      <w:tblGrid>
        <w:gridCol w:w="4646"/>
        <w:gridCol w:w="4646"/>
      </w:tblGrid>
      <w:tr>
        <w:tc>
          <w:tcPr>
            <w:tcW w:type="dxa" w:w="2268"/>
            <w:shd w:val="clear" w:color="auto" w:fill="EAF0F8"/>
          </w:tcPr>
          <w:p>
            <w:r/>
            <w:r>
              <w:rPr>
                <w:rFonts w:ascii="微软雅黑" w:hAnsi="微软雅黑" w:eastAsia="微软雅黑"/>
                <w:b/>
                <w:sz w:val="21"/>
              </w:rPr>
              <w:t>文档版本</w:t>
            </w:r>
          </w:p>
        </w:tc>
        <w:tc>
          <w:tcPr>
            <w:tcW w:type="dxa" w:w="6236"/>
          </w:tcPr>
          <w:p>
            <w:r/>
            <w:r>
              <w:rPr>
                <w:rFonts w:ascii="微软雅黑" w:hAnsi="微软雅黑" w:eastAsia="微软雅黑"/>
                <w:sz w:val="21"/>
              </w:rPr>
              <w:t>V1.0</w:t>
            </w:r>
          </w:p>
        </w:tc>
      </w:tr>
      <w:tr>
        <w:tc>
          <w:tcPr>
            <w:tcW w:type="dxa" w:w="2268"/>
            <w:shd w:val="clear" w:color="auto" w:fill="EAF0F8"/>
          </w:tcPr>
          <w:p>
            <w:r/>
            <w:r>
              <w:rPr>
                <w:rFonts w:ascii="微软雅黑" w:hAnsi="微软雅黑" w:eastAsia="微软雅黑"/>
                <w:b/>
                <w:sz w:val="21"/>
              </w:rPr>
              <w:t>文档性质</w:t>
            </w:r>
          </w:p>
        </w:tc>
        <w:tc>
          <w:tcPr>
            <w:tcW w:type="dxa" w:w="6236"/>
          </w:tcPr>
          <w:p>
            <w:r/>
            <w:r>
              <w:rPr>
                <w:rFonts w:ascii="微软雅黑" w:hAnsi="微软雅黑" w:eastAsia="微软雅黑"/>
                <w:sz w:val="21"/>
              </w:rPr>
              <w:t>产品级技术方案</w:t>
            </w:r>
          </w:p>
        </w:tc>
      </w:tr>
      <w:tr>
        <w:tc>
          <w:tcPr>
            <w:tcW w:type="dxa" w:w="2268"/>
            <w:shd w:val="clear" w:color="auto" w:fill="EAF0F8"/>
          </w:tcPr>
          <w:p>
            <w:r/>
            <w:r>
              <w:rPr>
                <w:rFonts w:ascii="微软雅黑" w:hAnsi="微软雅黑" w:eastAsia="微软雅黑"/>
                <w:b/>
                <w:sz w:val="21"/>
              </w:rPr>
              <w:t>适用读者</w:t>
            </w:r>
          </w:p>
        </w:tc>
        <w:tc>
          <w:tcPr>
            <w:tcW w:type="dxa" w:w="6236"/>
          </w:tcPr>
          <w:p>
            <w:r/>
            <w:r>
              <w:rPr>
                <w:rFonts w:ascii="微软雅黑" w:hAnsi="微软雅黑" w:eastAsia="微软雅黑"/>
                <w:sz w:val="21"/>
              </w:rPr>
              <w:t>船东与航运企业 · 技术评审 · 行业专家</w:t>
            </w:r>
          </w:p>
        </w:tc>
      </w:tr>
      <w:tr>
        <w:tc>
          <w:tcPr>
            <w:tcW w:type="dxa" w:w="2268"/>
            <w:shd w:val="clear" w:color="auto" w:fill="EAF0F8"/>
          </w:tcPr>
          <w:p>
            <w:r/>
            <w:r>
              <w:rPr>
                <w:rFonts w:ascii="微软雅黑" w:hAnsi="微软雅黑" w:eastAsia="微软雅黑"/>
                <w:b/>
                <w:sz w:val="21"/>
              </w:rPr>
              <w:t>编制日期</w:t>
            </w:r>
          </w:p>
        </w:tc>
        <w:tc>
          <w:tcPr>
            <w:tcW w:type="dxa" w:w="6236"/>
          </w:tcPr>
          <w:p>
            <w:r/>
            <w:r>
              <w:rPr>
                <w:rFonts w:ascii="微软雅黑" w:hAnsi="微软雅黑" w:eastAsia="微软雅黑"/>
                <w:sz w:val="21"/>
              </w:rPr>
              <w:t>2026 年 6 月</w:t>
            </w:r>
          </w:p>
        </w:tc>
      </w:tr>
    </w:tbl>
    <w:p>
      <w:r>
        <w:br w:type="page"/>
      </w:r>
    </w:p>
    <w:p>
      <w:pPr>
        <w:spacing w:before="320" w:after="120"/>
        <w:pBdr>
          <w:bottom w:val="single" w:sz="6" w:space="4" w:color="164E8C"/>
        </w:pBdr>
      </w:pPr>
      <w:r>
        <w:rPr>
          <w:rFonts w:ascii="微软雅黑" w:hAnsi="微软雅黑" w:eastAsia="微软雅黑"/>
          <w:b/>
          <w:color w:val="164E8C"/>
          <w:sz w:val="30"/>
        </w:rPr>
        <w:t>一、项目背景与产品定位</w:t>
      </w:r>
    </w:p>
    <w:p>
      <w:pPr>
        <w:jc w:val="both"/>
      </w:pPr>
      <w:r>
        <w:rPr>
          <w:rFonts w:ascii="微软雅黑" w:hAnsi="微软雅黑" w:eastAsia="微软雅黑"/>
        </w:rPr>
        <w:t>近年来,智能航运、绿色航运与远程运维加速推进,船舶的运行方式正从传统的"船上单点驾驶"向"船端智能、岸端协同、数据贯通"演进。然而在大量在役与新造船舶上,真正制约智能化落地的,往往并不是缺少某一台先进设备,而是船上数十类设备分属不同厂家、采用不同协议、各自维护着一套独立的界面与数据口径。其直接后果是:驾驶台与机舱人员不得不在多套系统之间反复切换;真正关键的告警淹没在大量无差别的提示之中;船端与岸端各自只掌握一部分信息,难以形成统一的运行态势。更深一层的问题在于,这些彼此割裂的数据无法沉淀为可复用的资产,每一条船都要从头集成一遍,既难以快速复制,也难以为后续的预测性维护与智能分析打下基础。</w:t>
      </w:r>
    </w:p>
    <w:p>
      <w:pPr>
        <w:jc w:val="both"/>
      </w:pPr>
      <w:r>
        <w:rPr>
          <w:rFonts w:ascii="微软雅黑" w:hAnsi="微软雅黑" w:eastAsia="微软雅黑"/>
        </w:rPr>
        <w:t>智能船机交互系统正是针对这一根本问题而设计。它是一套软硬件一体的船端人机协同驾控中枢:在一套统一、稳定的 AI-IoT 数据底座之上,把全船设备的数据标准化地汇聚起来,再以船员能够直接使用的方式,呈现为"看得见、问得清、操得动、控得住"的统一体验,并可顺势向岸端延伸,支撑远程监管、远程协助与人员培训。在结构上,系统分为两层:底层负责异构设备数据的接入、解析与标准化,解决"设备到数据"的问题;上层负责把标准化的数据转化为驾控体验与操作能力,解决"数据到人机"的问题。两层之间以明确的接口契约衔接,可以各自独立演进——底层增加新设备、新协议时上层无须改动,上层增加新界面、新场景时底层保持不变。这种分层,正是产品能够在不同船型上快速复制、并支撑长期迭代的根基。</w:t>
      </w:r>
    </w:p>
    <w:p>
      <w:pPr>
        <w:jc w:val="both"/>
      </w:pPr>
      <w:r>
        <w:rPr>
          <w:rFonts w:ascii="微软雅黑" w:hAnsi="微软雅黑" w:eastAsia="微软雅黑"/>
        </w:rPr>
      </w:r>
      <w:r>
        <w:rPr>
          <w:rFonts w:ascii="微软雅黑" w:hAnsi="微软雅黑" w:eastAsia="微软雅黑"/>
          <w:b/>
        </w:rPr>
        <w:t>本项目以实船应用为目标。</w:t>
      </w:r>
      <w:r>
        <w:rPr>
          <w:rFonts w:ascii="微软雅黑" w:hAnsi="微软雅黑" w:eastAsia="微软雅黑"/>
        </w:rPr>
        <w:t xml:space="preserve"> 系统将在真实营运船舶上完成安装、联调与试运行,在实船环境中检验设备接入的稳定性、数据的准确性与人机交互的可用性;待实船稳定运行、积累足够运行数据之后,再依据船级社相关规范推进 CCS 认证,使产品从"工程可用"走向"规范可认证"。换言之,认证建立在真实船舶运行与现场验证的基础之上,是项目自然推进的下一步,而非一句口头承诺。</w:t>
      </w:r>
    </w:p>
    <w:p>
      <w:pPr>
        <w:jc w:val="both"/>
      </w:pPr>
      <w:r>
        <w:rPr>
          <w:rFonts w:ascii="微软雅黑" w:hAnsi="微软雅黑" w:eastAsia="微软雅黑"/>
        </w:rPr>
        <w:t>在已交付的同类应用中,这种软硬件一体、统一接入的形态相比传统多厂家分散集成的方式,在管理成本、现场交付周期与日常运维成本三方面均有明显改善,典型量级如下。</w:t>
      </w:r>
    </w:p>
    <w:tbl>
      <w:tblPr>
        <w:tblW w:type="auto" w:w="0"/>
        <w:jc w:val="center"/>
        <w:tblLook w:firstColumn="1" w:firstRow="1" w:lastColumn="0" w:lastRow="0" w:noHBand="0" w:noVBand="1" w:val="04A0"/>
      </w:tblPr>
      <w:tblGrid>
        <w:gridCol w:w="2323"/>
        <w:gridCol w:w="2323"/>
        <w:gridCol w:w="2323"/>
        <w:gridCol w:w="2323"/>
      </w:tblGrid>
      <w:tr>
        <w:tc>
          <w:tcPr>
            <w:tcW w:type="dxa" w:w="2323"/>
            <w:shd w:val="clear" w:color="auto" w:fill="164E8C"/>
          </w:tcPr>
          <w:p>
            <w:pPr>
              <w:jc w:val="center"/>
            </w:pPr>
            <w:r/>
            <w:r>
              <w:rPr>
                <w:rFonts w:ascii="微软雅黑" w:hAnsi="微软雅黑" w:eastAsia="微软雅黑"/>
                <w:b/>
                <w:color w:val="FFFFFF"/>
                <w:sz w:val="40"/>
              </w:rPr>
              <w:t>-50%</w:t>
            </w:r>
          </w:p>
          <w:p>
            <w:pPr>
              <w:jc w:val="center"/>
            </w:pPr>
            <w:r>
              <w:rPr>
                <w:rFonts w:ascii="微软雅黑" w:hAnsi="微软雅黑" w:eastAsia="微软雅黑"/>
                <w:color w:val="DDE6F2"/>
                <w:sz w:val="19"/>
              </w:rPr>
              <w:t>管理成本</w:t>
            </w:r>
          </w:p>
        </w:tc>
        <w:tc>
          <w:tcPr>
            <w:tcW w:type="dxa" w:w="2323"/>
            <w:shd w:val="clear" w:color="auto" w:fill="164E8C"/>
          </w:tcPr>
          <w:p>
            <w:pPr>
              <w:jc w:val="center"/>
            </w:pPr>
            <w:r/>
            <w:r>
              <w:rPr>
                <w:rFonts w:ascii="微软雅黑" w:hAnsi="微软雅黑" w:eastAsia="微软雅黑"/>
                <w:b/>
                <w:color w:val="FFFFFF"/>
                <w:sz w:val="40"/>
              </w:rPr>
              <w:t>-60%</w:t>
            </w:r>
          </w:p>
          <w:p>
            <w:pPr>
              <w:jc w:val="center"/>
            </w:pPr>
            <w:r>
              <w:rPr>
                <w:rFonts w:ascii="微软雅黑" w:hAnsi="微软雅黑" w:eastAsia="微软雅黑"/>
                <w:color w:val="DDE6F2"/>
                <w:sz w:val="19"/>
              </w:rPr>
              <w:t>交付周期</w:t>
            </w:r>
          </w:p>
        </w:tc>
        <w:tc>
          <w:tcPr>
            <w:tcW w:type="dxa" w:w="2323"/>
            <w:shd w:val="clear" w:color="auto" w:fill="164E8C"/>
          </w:tcPr>
          <w:p>
            <w:pPr>
              <w:jc w:val="center"/>
            </w:pPr>
            <w:r/>
            <w:r>
              <w:rPr>
                <w:rFonts w:ascii="微软雅黑" w:hAnsi="微软雅黑" w:eastAsia="微软雅黑"/>
                <w:b/>
                <w:color w:val="FFFFFF"/>
                <w:sz w:val="40"/>
              </w:rPr>
              <w:t>-55%</w:t>
            </w:r>
          </w:p>
          <w:p>
            <w:pPr>
              <w:jc w:val="center"/>
            </w:pPr>
            <w:r>
              <w:rPr>
                <w:rFonts w:ascii="微软雅黑" w:hAnsi="微软雅黑" w:eastAsia="微软雅黑"/>
                <w:color w:val="DDE6F2"/>
                <w:sz w:val="19"/>
              </w:rPr>
              <w:t>运维成本</w:t>
            </w:r>
          </w:p>
        </w:tc>
        <w:tc>
          <w:tcPr>
            <w:tcW w:type="dxa" w:w="2323"/>
            <w:shd w:val="clear" w:color="auto" w:fill="164E8C"/>
          </w:tcPr>
          <w:p>
            <w:pPr>
              <w:jc w:val="center"/>
            </w:pPr>
            <w:r/>
            <w:r>
              <w:rPr>
                <w:rFonts w:ascii="微软雅黑" w:hAnsi="微软雅黑" w:eastAsia="微软雅黑"/>
                <w:b/>
                <w:color w:val="FFFFFF"/>
                <w:sz w:val="40"/>
              </w:rPr>
              <w:t>50+</w:t>
            </w:r>
          </w:p>
          <w:p>
            <w:pPr>
              <w:jc w:val="center"/>
            </w:pPr>
            <w:r>
              <w:rPr>
                <w:rFonts w:ascii="微软雅黑" w:hAnsi="微软雅黑" w:eastAsia="微软雅黑"/>
                <w:color w:val="DDE6F2"/>
                <w:sz w:val="19"/>
              </w:rPr>
              <w:t>单台终端接入设备</w:t>
            </w:r>
          </w:p>
        </w:tc>
      </w:tr>
    </w:tbl>
    <w:p>
      <w:pPr>
        <w:spacing w:after="120"/>
      </w:pPr>
    </w:p>
    <w:p>
      <w:pPr>
        <w:spacing w:before="320" w:after="120"/>
        <w:pBdr>
          <w:bottom w:val="single" w:sz="6" w:space="4" w:color="164E8C"/>
        </w:pBdr>
      </w:pPr>
      <w:r>
        <w:rPr>
          <w:rFonts w:ascii="微软雅黑" w:hAnsi="微软雅黑" w:eastAsia="微软雅黑"/>
          <w:b/>
          <w:color w:val="164E8C"/>
          <w:sz w:val="30"/>
        </w:rPr>
        <w:t>二、总体技术架构</w:t>
      </w:r>
    </w:p>
    <w:p>
      <w:pPr>
        <w:jc w:val="both"/>
      </w:pPr>
      <w:r>
        <w:rPr>
          <w:rFonts w:ascii="微软雅黑" w:hAnsi="微软雅黑" w:eastAsia="微软雅黑"/>
        </w:rPr>
        <w:t>系统采用"边缘采集—消息总线—服务中台—数据存储—可视化运维"的分层架构。现场设备通过串口、网口、CAN、Modbus 等方式接入船端的边缘智能主机,由主机完成协议的初步判别、数据解析与标准化封装;标准化之后的数据并不直接点对点送往各业务模块,而是统一发布到一条消息总线上,再由服务中台,以及驾驶台大屏、机舱屏、移动终端、AI 分析等各方按需订阅。</w:t>
      </w:r>
    </w:p>
    <w:p>
      <w:pPr>
        <w:jc w:val="both"/>
      </w:pPr>
      <w:r>
        <w:rPr>
          <w:rFonts w:ascii="微软雅黑" w:hAnsi="微软雅黑" w:eastAsia="微软雅黑"/>
        </w:rPr>
        <w:t>之所以以消息总线作为系统的"脊椎",而不是让各模块彼此直接调用,是出于三方面的工程考虑。首先,同一份设备数据可以被多个业务同时订阅,驾驶台大屏、告警系统、健康评分与 AI 诊断各取所需而互不阻塞。其次,采集端与服务端因此得以解耦,既可以分别部署、分别升级,也为"船端自治、岸端汇聚"的船岸协同留出了空间。最后,系统的扩展代价被显著降低——新增一个数据消费方,只是多了一个订阅者,而无须改动既有链路。</w:t>
      </w:r>
    </w:p>
    <w:p>
      <w:pPr>
        <w:jc w:val="both"/>
      </w:pPr>
      <w:r>
        <w:rPr>
          <w:rFonts w:ascii="微软雅黑" w:hAnsi="微软雅黑" w:eastAsia="微软雅黑"/>
        </w:rPr>
        <w:t>真正构成"稳定底座"的,是三套不随版本变动的接口契约。后续无论是接入新设备、新增分析,还是扩展前端,改动都只发生在契约内部,而契约本身保持不变,这也是"底座不变"的精确含义。</w:t>
      </w:r>
    </w:p>
    <w:tbl>
      <w:tblPr>
        <w:tblStyle w:val="LightGrid-Accent1"/>
        <w:tblW w:type="auto" w:w="0"/>
        <w:jc w:val="center"/>
        <w:tblLook w:firstColumn="1" w:firstRow="1" w:lastColumn="0" w:lastRow="0" w:noHBand="0" w:noVBand="1" w:val="04A0"/>
      </w:tblPr>
      <w:tblGrid>
        <w:gridCol w:w="4646"/>
        <w:gridCol w:w="4646"/>
      </w:tblGrid>
      <w:tr>
        <w:tc>
          <w:tcPr>
            <w:tcW w:type="dxa" w:w="2381"/>
            <w:shd w:val="clear" w:color="auto" w:fill="164E8C"/>
          </w:tcPr>
          <w:p>
            <w:r/>
            <w:r>
              <w:rPr>
                <w:rFonts w:ascii="微软雅黑" w:hAnsi="微软雅黑" w:eastAsia="微软雅黑"/>
                <w:b/>
                <w:color w:val="FFFFFF"/>
                <w:sz w:val="20"/>
              </w:rPr>
              <w:t>契约</w:t>
            </w:r>
          </w:p>
        </w:tc>
        <w:tc>
          <w:tcPr>
            <w:tcW w:type="dxa" w:w="6406"/>
            <w:shd w:val="clear" w:color="auto" w:fill="164E8C"/>
          </w:tcPr>
          <w:p>
            <w:r/>
            <w:r>
              <w:rPr>
                <w:rFonts w:ascii="微软雅黑" w:hAnsi="微软雅黑" w:eastAsia="微软雅黑"/>
                <w:b/>
                <w:color w:val="FFFFFF"/>
                <w:sz w:val="20"/>
              </w:rPr>
              <w:t>内容</w:t>
            </w:r>
          </w:p>
        </w:tc>
      </w:tr>
      <w:tr>
        <w:tc>
          <w:tcPr>
            <w:tcW w:type="dxa" w:w="2381"/>
          </w:tcPr>
          <w:p>
            <w:r/>
            <w:r>
              <w:rPr>
                <w:rFonts w:ascii="微软雅黑" w:hAnsi="微软雅黑" w:eastAsia="微软雅黑"/>
                <w:sz w:val="20"/>
              </w:rPr>
              <w:t>消息总线主题命名空间</w:t>
            </w:r>
          </w:p>
        </w:tc>
        <w:tc>
          <w:tcPr>
            <w:tcW w:type="dxa" w:w="6406"/>
          </w:tcPr>
          <w:p>
            <w:r/>
            <w:r>
              <w:rPr>
                <w:rFonts w:ascii="微软雅黑" w:hAnsi="微软雅黑" w:eastAsia="微软雅黑"/>
                <w:sz w:val="20"/>
              </w:rPr>
              <w:t>标准设备数据、设备状态、采集与解析异常、动态端口绑定,以及未知设备识别的四段式流程(请求、待确认、进度、确认)</w:t>
            </w:r>
          </w:p>
        </w:tc>
      </w:tr>
      <w:tr>
        <w:tc>
          <w:tcPr>
            <w:tcW w:type="dxa" w:w="2381"/>
          </w:tcPr>
          <w:p>
            <w:r/>
            <w:r>
              <w:rPr>
                <w:rFonts w:ascii="微软雅黑" w:hAnsi="微软雅黑" w:eastAsia="微软雅黑"/>
                <w:sz w:val="20"/>
              </w:rPr>
              <w:t>核心数据模型</w:t>
            </w:r>
          </w:p>
        </w:tc>
        <w:tc>
          <w:tcPr>
            <w:tcW w:type="dxa" w:w="6406"/>
          </w:tcPr>
          <w:p>
            <w:r/>
            <w:r>
              <w:rPr>
                <w:rFonts w:ascii="微软雅黑" w:hAnsi="微软雅黑" w:eastAsia="微软雅黑"/>
                <w:sz w:val="20"/>
              </w:rPr>
              <w:t>设备台账、告警历史与确认状态、动态设备注册(含字段元信息与端口映射)、原始报文与结构化结果留痕、健康评分规则与历史、端口模板、船舶位置与系统分类</w:t>
            </w:r>
          </w:p>
        </w:tc>
      </w:tr>
      <w:tr>
        <w:tc>
          <w:tcPr>
            <w:tcW w:type="dxa" w:w="2381"/>
          </w:tcPr>
          <w:p>
            <w:r/>
            <w:r>
              <w:rPr>
                <w:rFonts w:ascii="微软雅黑" w:hAnsi="微软雅黑" w:eastAsia="微软雅黑"/>
                <w:sz w:val="20"/>
              </w:rPr>
              <w:t>对外接口形态</w:t>
            </w:r>
          </w:p>
        </w:tc>
        <w:tc>
          <w:tcPr>
            <w:tcW w:type="dxa" w:w="6406"/>
          </w:tcPr>
          <w:p>
            <w:r/>
            <w:r>
              <w:rPr>
                <w:rFonts w:ascii="微软雅黑" w:hAnsi="微软雅黑" w:eastAsia="微软雅黑"/>
                <w:sz w:val="20"/>
              </w:rPr>
              <w:t>REST 用于查询与配置落库,WebSocket 用于实时推送,SSE 用于 AI 流式输出,并提供在线接口文档供联调与验收</w:t>
            </w:r>
          </w:p>
        </w:tc>
      </w:tr>
    </w:tbl>
    <w:p>
      <w:pPr>
        <w:spacing w:after="40"/>
      </w:pPr>
    </w:p>
    <w:p>
      <w:pPr>
        <w:jc w:val="both"/>
      </w:pPr>
      <w:r>
        <w:rPr>
          <w:rFonts w:ascii="微软雅黑" w:hAnsi="微软雅黑" w:eastAsia="微软雅黑"/>
        </w:rPr>
        <w:t>设备的接入分为两种情形。对于已经预置模板的设备,边缘主机依据报文特征自动命中对应模板,完成端口绑定与结构化解析,全程无须人工介入、也不依赖 AI,这是系统稳定性的基本盘。对于现场新增或临时接入的未知设备,系统会自动采集若干帧原始报文,借助本地模型辅助判断其协议类型与字段结构,生成候选解析配置,经现场人员确认后热加载生效,新设备随即进入标准链路并建立动态台账。需要说明的是,AI 在这一环节承担的是"加速接入、缩短初期分析时间"的辅助角色,最终仍由人确认——这一设计在提升效率的同时,保证了接入过程始终可控。</w:t>
      </w:r>
    </w:p>
    <w:p>
      <w:pPr>
        <w:jc w:val="both"/>
      </w:pPr>
      <w:r>
        <w:rPr>
          <w:rFonts w:ascii="微软雅黑" w:hAnsi="微软雅黑" w:eastAsia="微软雅黑"/>
        </w:rPr>
        <w:t>对于寄存器结构较为复杂的 Modbus 类设备,其字段的量纲、倍率与报警位定义需要结合厂家寄存器表才能准确解析。这部分资料通常由设备厂家或船东提供,是现场实施前需要预先落实的一项输入,建议在项目启动阶段即明确来源。</w:t>
      </w:r>
    </w:p>
    <w:p>
      <w:pPr>
        <w:spacing w:before="320" w:after="120"/>
        <w:pBdr>
          <w:bottom w:val="single" w:sz="6" w:space="4" w:color="164E8C"/>
        </w:pBdr>
      </w:pPr>
      <w:r>
        <w:rPr>
          <w:rFonts w:ascii="微软雅黑" w:hAnsi="微软雅黑" w:eastAsia="微软雅黑"/>
          <w:b/>
          <w:color w:val="164E8C"/>
          <w:sz w:val="30"/>
        </w:rPr>
        <w:t>三、边缘智能主机</w:t>
      </w:r>
    </w:p>
    <w:p>
      <w:pPr>
        <w:jc w:val="both"/>
      </w:pPr>
      <w:r>
        <w:rPr>
          <w:rFonts w:ascii="微软雅黑" w:hAnsi="微软雅黑" w:eastAsia="微软雅黑"/>
        </w:rPr>
        <w:t>整套系统的硬件核心,是一台部署在船端的边缘智能主机。它一方面承担全船设备的统一接入、协议解析与数据标准化转发,是数据进入系统的第一道关口;另一方面内置算力,在船端就近完成异常识别、声学分析、虚拟感知与本地诊断等推理任务,即便在与岸端断联的情况下,船端仍能维持基本的自治能力。</w:t>
      </w:r>
    </w:p>
    <w:tbl>
      <w:tblPr>
        <w:tblW w:type="auto" w:w="0"/>
        <w:jc w:val="center"/>
        <w:tblLook w:firstColumn="1" w:firstRow="1" w:lastColumn="0" w:lastRow="0" w:noHBand="0" w:noVBand="1" w:val="04A0"/>
      </w:tblPr>
      <w:tblGrid>
        <w:gridCol w:w="9292"/>
      </w:tblGrid>
      <w:tr>
        <w:tc>
          <w:tcPr>
            <w:tcW w:type="dxa" w:w="8787"/>
            <w:shd w:val="clear" w:color="auto" w:fill="F2F5F9"/>
          </w:tcPr>
          <w:p>
            <w:pPr>
              <w:spacing w:before="600" w:after="600"/>
              <w:jc w:val="center"/>
            </w:pPr>
            <w:r>
              <w:rPr>
                <w:rFonts w:ascii="微软雅黑" w:hAnsi="微软雅黑" w:eastAsia="微软雅黑"/>
                <w:color w:val="AAAAAA"/>
                <w:sz w:val="18"/>
              </w:rPr>
              <w:t>产品图（待插入）</w:t>
            </w:r>
          </w:p>
        </w:tc>
      </w:tr>
    </w:tbl>
    <w:p>
      <w:pPr>
        <w:spacing w:after="200"/>
        <w:jc w:val="center"/>
      </w:pPr>
      <w:r>
        <w:rPr>
          <w:rFonts w:ascii="微软雅黑" w:hAnsi="微软雅黑" w:eastAsia="微软雅黑"/>
          <w:i/>
          <w:color w:val="666666"/>
          <w:sz w:val="18"/>
        </w:rPr>
        <w:t>图 1  AI+IoT 智能体 V2.0 边缘智能主机：纯血国产灵汐芯片、面向航运环境的全新机箱、多协议适配,满足 AIS、定位、罗经、雷达、推进等 50 余类设备接入</w:t>
      </w:r>
    </w:p>
    <w:p>
      <w:pPr>
        <w:jc w:val="both"/>
      </w:pPr>
      <w:r>
        <w:rPr>
          <w:rFonts w:ascii="微软雅黑" w:hAnsi="微软雅黑" w:eastAsia="微软雅黑"/>
        </w:rPr>
        <w:t>主机的算力核心采用纯血国产的灵汐类脑 AI 芯片。相较通用处理器,类脑架构在持续的边缘推理负载下兼顾算力与功耗,并针对高温、粉尘、振动等工业现场作了适配,适合长期运行于机舱及驾驶台等环境。整机按航运现场要求设计,具备较宽的工作温度范围与较高的防护与三防等级,被动散热、无风扇,降低了海上长期运行的维护负担。主要规格如下。</w:t>
      </w:r>
    </w:p>
    <w:tbl>
      <w:tblPr>
        <w:tblStyle w:val="LightGrid-Accent1"/>
        <w:tblW w:type="auto" w:w="0"/>
        <w:jc w:val="center"/>
        <w:tblLook w:firstColumn="1" w:firstRow="1" w:lastColumn="0" w:lastRow="0" w:noHBand="0" w:noVBand="1" w:val="04A0"/>
      </w:tblPr>
      <w:tblGrid>
        <w:gridCol w:w="4646"/>
        <w:gridCol w:w="4646"/>
      </w:tblGrid>
      <w:tr>
        <w:tc>
          <w:tcPr>
            <w:tcW w:type="dxa" w:w="2041"/>
            <w:shd w:val="clear" w:color="auto" w:fill="164E8C"/>
          </w:tcPr>
          <w:p>
            <w:r/>
            <w:r>
              <w:rPr>
                <w:rFonts w:ascii="微软雅黑" w:hAnsi="微软雅黑" w:eastAsia="微软雅黑"/>
                <w:b/>
                <w:color w:val="FFFFFF"/>
                <w:sz w:val="20"/>
              </w:rPr>
              <w:t>项目</w:t>
            </w:r>
          </w:p>
        </w:tc>
        <w:tc>
          <w:tcPr>
            <w:tcW w:type="dxa" w:w="6746"/>
            <w:shd w:val="clear" w:color="auto" w:fill="164E8C"/>
          </w:tcPr>
          <w:p>
            <w:r/>
            <w:r>
              <w:rPr>
                <w:rFonts w:ascii="微软雅黑" w:hAnsi="微软雅黑" w:eastAsia="微软雅黑"/>
                <w:b/>
                <w:color w:val="FFFFFF"/>
                <w:sz w:val="20"/>
              </w:rPr>
              <w:t>规格</w:t>
            </w:r>
          </w:p>
        </w:tc>
      </w:tr>
      <w:tr>
        <w:tc>
          <w:tcPr>
            <w:tcW w:type="dxa" w:w="2041"/>
          </w:tcPr>
          <w:p>
            <w:r/>
            <w:r>
              <w:rPr>
                <w:rFonts w:ascii="微软雅黑" w:hAnsi="微软雅黑" w:eastAsia="微软雅黑"/>
                <w:sz w:val="20"/>
              </w:rPr>
              <w:t>类脑算力</w:t>
            </w:r>
          </w:p>
        </w:tc>
        <w:tc>
          <w:tcPr>
            <w:tcW w:type="dxa" w:w="6746"/>
          </w:tcPr>
          <w:p>
            <w:r/>
            <w:r>
              <w:rPr>
                <w:rFonts w:ascii="微软雅黑" w:hAnsi="微软雅黑" w:eastAsia="微软雅黑"/>
                <w:sz w:val="20"/>
              </w:rPr>
              <w:t>INT8 48 TOPS / FP16 24 TFLOPS;类脑架构,30MB 片上 SRAM</w:t>
            </w:r>
          </w:p>
        </w:tc>
      </w:tr>
      <w:tr>
        <w:tc>
          <w:tcPr>
            <w:tcW w:type="dxa" w:w="2041"/>
          </w:tcPr>
          <w:p>
            <w:r/>
            <w:r>
              <w:rPr>
                <w:rFonts w:ascii="微软雅黑" w:hAnsi="微软雅黑" w:eastAsia="微软雅黑"/>
                <w:sz w:val="20"/>
              </w:rPr>
              <w:t>主控与内存</w:t>
            </w:r>
          </w:p>
        </w:tc>
        <w:tc>
          <w:tcPr>
            <w:tcW w:type="dxa" w:w="6746"/>
          </w:tcPr>
          <w:p>
            <w:r/>
            <w:r>
              <w:rPr>
                <w:rFonts w:ascii="微软雅黑" w:hAnsi="微软雅黑" w:eastAsia="微软雅黑"/>
                <w:sz w:val="20"/>
              </w:rPr>
              <w:t>国产 8 核处理器,8GB LPDDR4x(支持 ECC)</w:t>
            </w:r>
          </w:p>
        </w:tc>
      </w:tr>
      <w:tr>
        <w:tc>
          <w:tcPr>
            <w:tcW w:type="dxa" w:w="2041"/>
          </w:tcPr>
          <w:p>
            <w:r/>
            <w:r>
              <w:rPr>
                <w:rFonts w:ascii="微软雅黑" w:hAnsi="微软雅黑" w:eastAsia="微软雅黑"/>
                <w:sz w:val="20"/>
              </w:rPr>
              <w:t>工业环境适应</w:t>
            </w:r>
          </w:p>
        </w:tc>
        <w:tc>
          <w:tcPr>
            <w:tcW w:type="dxa" w:w="6746"/>
          </w:tcPr>
          <w:p>
            <w:r/>
            <w:r>
              <w:rPr>
                <w:rFonts w:ascii="微软雅黑" w:hAnsi="微软雅黑" w:eastAsia="微软雅黑"/>
                <w:sz w:val="20"/>
              </w:rPr>
              <w:t>工作温度 -20℃ ~ +60℃;防护等级 IP65;防水、防尘、防静电;被动散热;9–36V 直流供电;典型功耗 45W</w:t>
            </w:r>
          </w:p>
        </w:tc>
      </w:tr>
    </w:tbl>
    <w:p>
      <w:pPr>
        <w:spacing w:after="40"/>
      </w:pPr>
    </w:p>
    <w:p>
      <w:pPr>
        <w:jc w:val="both"/>
      </w:pPr>
      <w:r>
        <w:rPr>
          <w:rFonts w:ascii="微软雅黑" w:hAnsi="微软雅黑" w:eastAsia="微软雅黑"/>
        </w:rPr>
        <w:t>需要特别说明的是,上表所列为边缘主机芯片层面的能力规格;产品对外提供的接口种类与数量(串口、网口、CAN、485、IO 等,可满足 50 余类设备接入)以产品整机规格为准,与芯片的原始接口清单并不等同,具体以现场配置为准。</w:t>
      </w:r>
    </w:p>
    <w:p>
      <w:pPr>
        <w:spacing w:before="320" w:after="120"/>
        <w:pBdr>
          <w:bottom w:val="single" w:sz="6" w:space="4" w:color="164E8C"/>
        </w:pBdr>
      </w:pPr>
      <w:r>
        <w:rPr>
          <w:rFonts w:ascii="微软雅黑" w:hAnsi="微软雅黑" w:eastAsia="微软雅黑"/>
          <w:b/>
          <w:color w:val="164E8C"/>
          <w:sz w:val="30"/>
        </w:rPr>
        <w:t>四、核心能力</w:t>
      </w:r>
    </w:p>
    <w:p>
      <w:pPr>
        <w:spacing w:before="200" w:after="60"/>
      </w:pPr>
      <w:r>
        <w:rPr>
          <w:rFonts w:ascii="微软雅黑" w:hAnsi="微软雅黑" w:eastAsia="微软雅黑"/>
          <w:b/>
          <w:color w:val="0B7A6E"/>
          <w:sz w:val="24"/>
        </w:rPr>
        <w:t>4.1  底层数据处理</w:t>
      </w:r>
    </w:p>
    <w:p>
      <w:pPr>
        <w:jc w:val="both"/>
      </w:pPr>
      <w:r>
        <w:rPr>
          <w:rFonts w:ascii="微软雅黑" w:hAnsi="微软雅黑" w:eastAsia="微软雅黑"/>
        </w:rPr>
        <w:t>传统的船舶设备集成,往往依赖资深工程师在现场逐台编写解析脚本、反复调试,周期长、对人依赖重。本系统把这一过程模板化:针对不同的数据类型与协议类型预先建立解析模板,设备接入时自动或手动匹配相应模板,系统即可自动完成协议解析与端口映射。这样一来,原本需要专家逐台处理的接入工作,就变成了可以批量推进的标准化作业,现场实施与交付周期被大幅压缩,对个别工程师的依赖也随之降低。</w:t>
      </w:r>
    </w:p>
    <w:p>
      <w:pPr>
        <w:jc w:val="both"/>
      </w:pPr>
      <w:r>
        <w:rPr>
          <w:rFonts w:ascii="微软雅黑" w:hAnsi="微软雅黑" w:eastAsia="微软雅黑"/>
        </w:rPr>
        <w:t>在接入的同时,系统会为每一台设备、每一个传感器打上两类标签:一类是系统分类,例如动力系统、配电系统;一类是位置分类,例如主推舱、驾驶舱。这两类标签看似简单,却为后续的 AI 分析提供了关键的结构化信息。当某处发生故障时,系统不再孤立地看待单台设备的报错,而能够结合它所属的系统与所处的物理位置,判断故障的根源究竟出在哪个舱室,以及可能沿系统链路波及到哪些上下游设备。</w:t>
      </w:r>
    </w:p>
    <w:p>
      <w:pPr>
        <w:spacing w:before="200" w:after="60"/>
      </w:pPr>
      <w:r>
        <w:rPr>
          <w:rFonts w:ascii="微软雅黑" w:hAnsi="微软雅黑" w:eastAsia="微软雅黑"/>
          <w:b/>
          <w:color w:val="0B7A6E"/>
          <w:sz w:val="24"/>
        </w:rPr>
        <w:t>4.2  数据拓展运用</w:t>
      </w:r>
    </w:p>
    <w:p>
      <w:pPr>
        <w:jc w:val="both"/>
      </w:pPr>
      <w:r>
        <w:rPr>
          <w:rFonts w:ascii="微软雅黑" w:hAnsi="微软雅黑" w:eastAsia="微软雅黑"/>
        </w:rPr>
        <w:t>在实际营运中,部分采用 CAN 等协议的设备在某些工况下本就不发送数据。若简单地以"是否收到数据"判断在线与否,极易产生误报。为此,系统对"离线"作了更贴近实际的定义:它综合判断"是否收到数据"与"按当前工况是否应该有数据"。举例而言,主发电机运行时,系统期望冷却水泵上报数据;而当主发电机停机,水泵本就不应有数据,此时的静默属于正常状态。这一机制显著减少了无意义的离线告警。</w:t>
      </w:r>
    </w:p>
    <w:p>
      <w:pPr>
        <w:jc w:val="both"/>
      </w:pPr>
      <w:r>
        <w:rPr>
          <w:rFonts w:ascii="微软雅黑" w:hAnsi="微软雅黑" w:eastAsia="微软雅黑"/>
        </w:rPr>
        <w:t>设备数据只有结合船舶当前的工况,才真正具备意义。系统通过分析对地航速、转速、航向变化率、侧推状态、对水航速等参数,自动识别船舶当前处于进出港机动、停泊系泊、正常航行还是无动力漂航四个阶段中的哪一个,从而为后续分析提供"船舶环境上下文"。有了这一上下文,同一组数据在不同工况下会被赋予不同的含义,AI 的研判也就摆脱了脱离实际场景的机械判断,具备了真正的航行环境感知力。</w:t>
      </w:r>
    </w:p>
    <w:p>
      <w:pPr>
        <w:jc w:val="both"/>
      </w:pPr>
      <w:r>
        <w:rPr>
          <w:rFonts w:ascii="微软雅黑" w:hAnsi="微软雅黑" w:eastAsia="微软雅黑"/>
        </w:rPr>
        <w:t>在设备健康层面,系统为每一类设备设定了熔断红线与短板扣分规则,据此实时计算出 0 到 100 的健康评分。一方面,运维与驾驶人员可以借此快速掌握设备的退化状态;另一方面,健康分随时间形成的序列,为 AI 提供了"故障趋势"这一关键依据,是从"坏了再修"走向预测性维护的基础。</w:t>
      </w:r>
    </w:p>
    <w:p>
      <w:pPr>
        <w:jc w:val="both"/>
      </w:pPr>
      <w:r>
        <w:rPr>
          <w:rFonts w:ascii="微软雅黑" w:hAnsi="微软雅黑" w:eastAsia="微软雅黑"/>
        </w:rPr>
        <w:t>针对以往告警"一股脑全部弹出、抓不住重点"的问题,系统按设备报错的致命程度建立了三级分层。P0 紧急告警对应触碰物理红线的情形,瞬时触发,要求立即停机或干预;P1 异常预警针对带有一定时间防抖的趋势性恶化,提醒船员及时排查;P2 运行提示则是轻微的基准偏离,由系统在后台静默记录,不打扰正常驾驶。这样的分层,让船员在绝大多数时间里免于无效弹窗的干扰,又能在真正紧急的时刻第一时间获得最高优先级的阻断提醒。</w:t>
      </w:r>
    </w:p>
    <w:p>
      <w:pPr>
        <w:spacing w:before="200" w:after="60"/>
      </w:pPr>
      <w:r>
        <w:rPr>
          <w:rFonts w:ascii="微软雅黑" w:hAnsi="微软雅黑" w:eastAsia="微软雅黑"/>
          <w:b/>
          <w:color w:val="0B7A6E"/>
          <w:sz w:val="24"/>
        </w:rPr>
        <w:t>4.3  交互体验</w:t>
      </w:r>
    </w:p>
    <w:p>
      <w:pPr>
        <w:jc w:val="both"/>
      </w:pPr>
      <w:r>
        <w:rPr>
          <w:rFonts w:ascii="微软雅黑" w:hAnsi="微软雅黑" w:eastAsia="微软雅黑"/>
        </w:rPr>
        <w:t>前端大屏与设备详情页经过专门优化,每一个设备信息卡片上都设有一个健康分色点。使用者只需扫一眼首页,看到哪一处的色点由绿转黄,便能立刻定位到需要关注的设备,系统的上手门槛因此大幅降低。</w:t>
      </w:r>
    </w:p>
    <w:p>
      <w:pPr>
        <w:jc w:val="both"/>
      </w:pPr>
      <w:r>
        <w:rPr>
          <w:rFonts w:ascii="微软雅黑" w:hAnsi="微软雅黑" w:eastAsia="微软雅黑"/>
        </w:rPr>
        <w:t>系统为平台的 AI 助手配备了三项跨设备的数据获取能力——航向状态、设备分类标签及其数据、设备健康分细则及趋势,使其具备多参数融合分析的"手脚"。借助这些信息,AI 不再只盯着报错的那一台设备,而是结合与之关联的其他系统的状态、船舶当前所处的环境,以及健康分的下滑趋势进行综合研判。举例而言,当主推进系统温度偏高、同时发电机处于大负载状态时,系统能够据此判断更可能是螺旋桨卡死所引发的连锁反应,而非单纯的冷却故障,从而给出更具实操指导意义的处置建议。</w:t>
      </w:r>
    </w:p>
    <w:p>
      <w:pPr>
        <w:jc w:val="both"/>
      </w:pPr>
      <w:r>
        <w:rPr>
          <w:rFonts w:ascii="微软雅黑" w:hAnsi="微软雅黑" w:eastAsia="微软雅黑"/>
        </w:rPr>
        <w:t>情境化的问答进一步降低了沟通成本。如果某台设备此前发生过报警并经 AI 诊断,后续再用 AI 助手问询时,系统会自动带上上一轮的诊断报告、当前界面停留的设备语境、历史对话记录以及用户的即时输入。凭借这些复合信息,AI 能够像一位有经验的同事那样,听懂船员在紧急情况下的模糊提问,例如"这个严重吗""需不需要停机",而不必要求对方反复交代背景。</w:t>
      </w:r>
    </w:p>
    <w:tbl>
      <w:tblPr>
        <w:tblW w:type="auto" w:w="0"/>
        <w:jc w:val="center"/>
        <w:tblLook w:firstColumn="1" w:firstRow="1" w:lastColumn="0" w:lastRow="0" w:noHBand="0" w:noVBand="1" w:val="04A0"/>
      </w:tblPr>
      <w:tblGrid>
        <w:gridCol w:w="9292"/>
      </w:tblGrid>
      <w:tr>
        <w:tc>
          <w:tcPr>
            <w:tcW w:type="dxa" w:w="8787"/>
            <w:shd w:val="clear" w:color="auto" w:fill="F2F5F9"/>
          </w:tcPr>
          <w:p>
            <w:pPr>
              <w:spacing w:before="600" w:after="600"/>
              <w:jc w:val="center"/>
            </w:pPr>
            <w:r>
              <w:rPr>
                <w:rFonts w:ascii="微软雅黑" w:hAnsi="微软雅黑" w:eastAsia="微软雅黑"/>
                <w:color w:val="AAAAAA"/>
                <w:sz w:val="18"/>
              </w:rPr>
              <w:t>产品图（待插入）</w:t>
            </w:r>
          </w:p>
        </w:tc>
      </w:tr>
    </w:tbl>
    <w:p>
      <w:pPr>
        <w:spacing w:after="200"/>
        <w:jc w:val="center"/>
      </w:pPr>
      <w:r>
        <w:rPr>
          <w:rFonts w:ascii="微软雅黑" w:hAnsi="微软雅黑" w:eastAsia="微软雅黑"/>
          <w:i/>
          <w:color w:val="666666"/>
          <w:sz w:val="18"/>
        </w:rPr>
        <w:t>图 2  IOT 平台与 IOT Pad 交互界面：设备详情、流量与转速、电压与温度、趋势曲线等实时监控</w:t>
      </w:r>
    </w:p>
    <w:p>
      <w:pPr>
        <w:jc w:val="both"/>
      </w:pPr>
      <w:r>
        <w:rPr>
          <w:rFonts w:ascii="微软雅黑" w:hAnsi="微软雅黑" w:eastAsia="微软雅黑"/>
        </w:rPr>
        <w:t>归纳而言,系统的能力围绕"看、问、操、控"四条主线展开:看,是统一的可视化与视频呈现;问,是 AI 的跨设备融合诊断与情境问答;操,是即插即用的接入与移动终端上的现场闭环;控,则是下一节将要详述的、可分级的设备控制。</w:t>
      </w:r>
    </w:p>
    <w:p>
      <w:pPr>
        <w:spacing w:before="320" w:after="120"/>
        <w:pBdr>
          <w:bottom w:val="single" w:sz="6" w:space="4" w:color="164E8C"/>
        </w:pBdr>
      </w:pPr>
      <w:r>
        <w:rPr>
          <w:rFonts w:ascii="微软雅黑" w:hAnsi="微软雅黑" w:eastAsia="微软雅黑"/>
          <w:b/>
          <w:color w:val="164E8C"/>
          <w:sz w:val="30"/>
        </w:rPr>
        <w:t>五、控制与 AI 责任边界</w:t>
      </w:r>
    </w:p>
    <w:p>
      <w:pPr>
        <w:jc w:val="both"/>
      </w:pPr>
      <w:r>
        <w:rPr>
          <w:rFonts w:ascii="微软雅黑" w:hAnsi="微软雅黑" w:eastAsia="微软雅黑"/>
        </w:rPr>
        <w:t>当 AI 的能力延伸到对船舶的控制时,真正需要回答的问题,不是"把控制权交给谁",而是"如何让 AI 的判断按照风险与可信程度,经过严格把关,逐级、可控地转化为实际动作"。本系统在这一问题上采用自有的分级控制方案,由系统自身完成从风险研判到控制输出的完整闭环,并以分级、可仲裁、可降级三项原则贯穿其中。</w:t>
      </w:r>
    </w:p>
    <w:p>
      <w:pPr>
        <w:jc w:val="both"/>
      </w:pPr>
      <w:r>
        <w:rPr>
          <w:rFonts w:ascii="微软雅黑" w:hAnsi="微软雅黑" w:eastAsia="微软雅黑"/>
        </w:rPr>
        <w:t>在这一闭环中,AI 承担的是感知融合、风险评分与研判建议的工作:它将多源数据融合为统一的态势,给出一个介于 0 与 1 之间的风险评分,并据此提出建议或辅助动作及其置信度。AI 不会无条件、也不会直接接管真实执行;对于火警、进水检测这类法定安全系统,AI 的作用是减少误报、辅助定位、提高感知的先验,而不是取而代之。最终的确认与值守始终保留在人这一侧,系统的全部动作均可回放、可审计、可追溯。</w:t>
      </w:r>
    </w:p>
    <w:p>
      <w:pPr>
        <w:jc w:val="both"/>
      </w:pPr>
      <w:r>
        <w:rPr>
          <w:rFonts w:ascii="微软雅黑" w:hAnsi="微软雅黑" w:eastAsia="微软雅黑"/>
        </w:rPr>
        <w:t>控制权限按风险高低分为四档,由风险评分、置信度、当前运行设计域以及关键传感器的健康状况共同决定。</w:t>
      </w:r>
    </w:p>
    <w:tbl>
      <w:tblPr>
        <w:tblStyle w:val="LightGrid-Accent1"/>
        <w:tblW w:type="auto" w:w="0"/>
        <w:jc w:val="center"/>
        <w:tblLook w:firstColumn="1" w:firstRow="1" w:lastColumn="0" w:lastRow="0" w:noHBand="0" w:noVBand="1" w:val="04A0"/>
      </w:tblPr>
      <w:tblGrid>
        <w:gridCol w:w="2323"/>
        <w:gridCol w:w="2323"/>
        <w:gridCol w:w="2323"/>
        <w:gridCol w:w="2323"/>
      </w:tblGrid>
      <w:tr>
        <w:tc>
          <w:tcPr>
            <w:tcW w:type="dxa" w:w="1361"/>
            <w:shd w:val="clear" w:color="auto" w:fill="164E8C"/>
          </w:tcPr>
          <w:p>
            <w:r/>
            <w:r>
              <w:rPr>
                <w:rFonts w:ascii="微软雅黑" w:hAnsi="微软雅黑" w:eastAsia="微软雅黑"/>
                <w:b/>
                <w:color w:val="FFFFFF"/>
                <w:sz w:val="20"/>
              </w:rPr>
              <w:t>控制模式</w:t>
            </w:r>
          </w:p>
        </w:tc>
        <w:tc>
          <w:tcPr>
            <w:tcW w:type="dxa" w:w="3175"/>
            <w:shd w:val="clear" w:color="auto" w:fill="164E8C"/>
          </w:tcPr>
          <w:p>
            <w:r/>
            <w:r>
              <w:rPr>
                <w:rFonts w:ascii="微软雅黑" w:hAnsi="微软雅黑" w:eastAsia="微软雅黑"/>
                <w:b/>
                <w:color w:val="FFFFFF"/>
                <w:sz w:val="20"/>
              </w:rPr>
              <w:t>触发条件</w:t>
            </w:r>
          </w:p>
        </w:tc>
        <w:tc>
          <w:tcPr>
            <w:tcW w:type="dxa" w:w="2948"/>
            <w:shd w:val="clear" w:color="auto" w:fill="164E8C"/>
          </w:tcPr>
          <w:p>
            <w:r/>
            <w:r>
              <w:rPr>
                <w:rFonts w:ascii="微软雅黑" w:hAnsi="微软雅黑" w:eastAsia="微软雅黑"/>
                <w:b/>
                <w:color w:val="FFFFFF"/>
                <w:sz w:val="20"/>
              </w:rPr>
              <w:t>典型输出</w:t>
            </w:r>
          </w:p>
        </w:tc>
        <w:tc>
          <w:tcPr>
            <w:tcW w:type="dxa" w:w="1304"/>
            <w:shd w:val="clear" w:color="auto" w:fill="164E8C"/>
          </w:tcPr>
          <w:p>
            <w:r/>
            <w:r>
              <w:rPr>
                <w:rFonts w:ascii="微软雅黑" w:hAnsi="微软雅黑" w:eastAsia="微软雅黑"/>
                <w:b/>
                <w:color w:val="FFFFFF"/>
                <w:sz w:val="20"/>
              </w:rPr>
              <w:t>是否需要人确认</w:t>
            </w:r>
          </w:p>
        </w:tc>
      </w:tr>
      <w:tr>
        <w:tc>
          <w:tcPr>
            <w:tcW w:type="dxa" w:w="1361"/>
          </w:tcPr>
          <w:p>
            <w:r/>
            <w:r>
              <w:rPr>
                <w:rFonts w:ascii="微软雅黑" w:hAnsi="微软雅黑" w:eastAsia="微软雅黑"/>
                <w:sz w:val="20"/>
              </w:rPr>
              <w:t>建议</w:t>
            </w:r>
          </w:p>
        </w:tc>
        <w:tc>
          <w:tcPr>
            <w:tcW w:type="dxa" w:w="3175"/>
          </w:tcPr>
          <w:p>
            <w:r/>
            <w:r>
              <w:rPr>
                <w:rFonts w:ascii="微软雅黑" w:hAnsi="微软雅黑" w:eastAsia="微软雅黑"/>
                <w:sz w:val="20"/>
              </w:rPr>
              <w:t>风险评分低于 0.55,或置信度不足</w:t>
            </w:r>
          </w:p>
        </w:tc>
        <w:tc>
          <w:tcPr>
            <w:tcW w:type="dxa" w:w="2948"/>
          </w:tcPr>
          <w:p>
            <w:r/>
            <w:r>
              <w:rPr>
                <w:rFonts w:ascii="微软雅黑" w:hAnsi="微软雅黑" w:eastAsia="微软雅黑"/>
                <w:sz w:val="20"/>
              </w:rPr>
              <w:t>在人机界面给出航向、航速建议与报警提示</w:t>
            </w:r>
          </w:p>
        </w:tc>
        <w:tc>
          <w:tcPr>
            <w:tcW w:type="dxa" w:w="1304"/>
          </w:tcPr>
          <w:p>
            <w:r/>
            <w:r>
              <w:rPr>
                <w:rFonts w:ascii="微软雅黑" w:hAnsi="微软雅黑" w:eastAsia="微软雅黑"/>
                <w:sz w:val="20"/>
              </w:rPr>
              <w:t>否</w:t>
            </w:r>
          </w:p>
        </w:tc>
      </w:tr>
      <w:tr>
        <w:tc>
          <w:tcPr>
            <w:tcW w:type="dxa" w:w="1361"/>
          </w:tcPr>
          <w:p>
            <w:r/>
            <w:r>
              <w:rPr>
                <w:rFonts w:ascii="微软雅黑" w:hAnsi="微软雅黑" w:eastAsia="微软雅黑"/>
                <w:sz w:val="20"/>
              </w:rPr>
              <w:t>辅助</w:t>
            </w:r>
          </w:p>
        </w:tc>
        <w:tc>
          <w:tcPr>
            <w:tcW w:type="dxa" w:w="3175"/>
          </w:tcPr>
          <w:p>
            <w:r/>
            <w:r>
              <w:rPr>
                <w:rFonts w:ascii="微软雅黑" w:hAnsi="微软雅黑" w:eastAsia="微软雅黑"/>
                <w:sz w:val="20"/>
              </w:rPr>
              <w:t>风险评分介于 0.55 至 0.75</w:t>
            </w:r>
          </w:p>
        </w:tc>
        <w:tc>
          <w:tcPr>
            <w:tcW w:type="dxa" w:w="2948"/>
          </w:tcPr>
          <w:p>
            <w:r/>
            <w:r>
              <w:rPr>
                <w:rFonts w:ascii="微软雅黑" w:hAnsi="微软雅黑" w:eastAsia="微软雅黑"/>
                <w:sz w:val="20"/>
              </w:rPr>
              <w:t>叠加增强显示,自动限制危险命令,建议侧推或减速</w:t>
            </w:r>
          </w:p>
        </w:tc>
        <w:tc>
          <w:tcPr>
            <w:tcW w:type="dxa" w:w="1304"/>
          </w:tcPr>
          <w:p>
            <w:r/>
            <w:r>
              <w:rPr>
                <w:rFonts w:ascii="微软雅黑" w:hAnsi="微软雅黑" w:eastAsia="微软雅黑"/>
                <w:sz w:val="20"/>
              </w:rPr>
              <w:t>是</w:t>
            </w:r>
          </w:p>
        </w:tc>
      </w:tr>
      <w:tr>
        <w:tc>
          <w:tcPr>
            <w:tcW w:type="dxa" w:w="1361"/>
          </w:tcPr>
          <w:p>
            <w:r/>
            <w:r>
              <w:rPr>
                <w:rFonts w:ascii="微软雅黑" w:hAnsi="微软雅黑" w:eastAsia="微软雅黑"/>
                <w:sz w:val="20"/>
              </w:rPr>
              <w:t>自动</w:t>
            </w:r>
          </w:p>
        </w:tc>
        <w:tc>
          <w:tcPr>
            <w:tcW w:type="dxa" w:w="3175"/>
          </w:tcPr>
          <w:p>
            <w:r/>
            <w:r>
              <w:rPr>
                <w:rFonts w:ascii="微软雅黑" w:hAnsi="微软雅黑" w:eastAsia="微软雅黑"/>
                <w:sz w:val="20"/>
              </w:rPr>
              <w:t>风险评分介于 0.75 至 0.90,且处于运行设计域内、关键传感器健康</w:t>
            </w:r>
          </w:p>
        </w:tc>
        <w:tc>
          <w:tcPr>
            <w:tcW w:type="dxa" w:w="2948"/>
          </w:tcPr>
          <w:p>
            <w:r/>
            <w:r>
              <w:rPr>
                <w:rFonts w:ascii="微软雅黑" w:hAnsi="微软雅黑" w:eastAsia="微软雅黑"/>
                <w:sz w:val="20"/>
              </w:rPr>
              <w:t>自动避碰、减速、保持航道、靠泊微调</w:t>
            </w:r>
          </w:p>
        </w:tc>
        <w:tc>
          <w:tcPr>
            <w:tcW w:type="dxa" w:w="1304"/>
          </w:tcPr>
          <w:p>
            <w:r/>
            <w:r>
              <w:rPr>
                <w:rFonts w:ascii="微软雅黑" w:hAnsi="微软雅黑" w:eastAsia="微软雅黑"/>
                <w:sz w:val="20"/>
              </w:rPr>
              <w:t>视场景</w:t>
            </w:r>
          </w:p>
        </w:tc>
      </w:tr>
      <w:tr>
        <w:tc>
          <w:tcPr>
            <w:tcW w:type="dxa" w:w="1361"/>
          </w:tcPr>
          <w:p>
            <w:r/>
            <w:r>
              <w:rPr>
                <w:rFonts w:ascii="微软雅黑" w:hAnsi="微软雅黑" w:eastAsia="微软雅黑"/>
                <w:sz w:val="20"/>
              </w:rPr>
              <w:t>远控</w:t>
            </w:r>
          </w:p>
        </w:tc>
        <w:tc>
          <w:tcPr>
            <w:tcW w:type="dxa" w:w="3175"/>
          </w:tcPr>
          <w:p>
            <w:r/>
            <w:r>
              <w:rPr>
                <w:rFonts w:ascii="微软雅黑" w:hAnsi="微软雅黑" w:eastAsia="微软雅黑"/>
                <w:sz w:val="20"/>
              </w:rPr>
              <w:t>风险评分不低于 0.90,或出现复合异常,且通信正常</w:t>
            </w:r>
          </w:p>
        </w:tc>
        <w:tc>
          <w:tcPr>
            <w:tcW w:type="dxa" w:w="2948"/>
          </w:tcPr>
          <w:p>
            <w:r/>
            <w:r>
              <w:rPr>
                <w:rFonts w:ascii="微软雅黑" w:hAnsi="微软雅黑" w:eastAsia="微软雅黑"/>
                <w:sz w:val="20"/>
              </w:rPr>
              <w:t>转入岸基远程接管,船端保留安全壳</w:t>
            </w:r>
          </w:p>
        </w:tc>
        <w:tc>
          <w:tcPr>
            <w:tcW w:type="dxa" w:w="1304"/>
          </w:tcPr>
          <w:p>
            <w:r/>
            <w:r>
              <w:rPr>
                <w:rFonts w:ascii="微软雅黑" w:hAnsi="微软雅黑" w:eastAsia="微软雅黑"/>
                <w:sz w:val="20"/>
              </w:rPr>
              <w:t>由岸基值守生效</w:t>
            </w:r>
          </w:p>
        </w:tc>
      </w:tr>
    </w:tbl>
    <w:p>
      <w:pPr>
        <w:spacing w:after="40"/>
      </w:pPr>
    </w:p>
    <w:p>
      <w:pPr>
        <w:jc w:val="both"/>
      </w:pPr>
      <w:r>
        <w:rPr>
          <w:rFonts w:ascii="微软雅黑" w:hAnsi="微软雅黑" w:eastAsia="微软雅黑"/>
        </w:rPr>
        <w:t>任何一条最终写入执行机构——舵机、主机、侧推——的指令,都必须依次通过三道关卡。第一道是权限仲裁,确认下达者是否有权、当前时刻是否允许、是否处于既定的运行设计域之内;第二道是安全包线,对指令进行限幅,并拦截越界转向等危险动作;第三道是故障切换,一旦出现超时或异常,立即降级到安全状态。涉及岸基远程写入时,还需额外满足通信网关放行、链路健康、双方控制租约有效,以及指令签名与白名单校验等条件。</w:t>
      </w:r>
    </w:p>
    <w:p>
      <w:pPr>
        <w:jc w:val="both"/>
      </w:pPr>
      <w:r>
        <w:rPr>
          <w:rFonts w:ascii="微软雅黑" w:hAnsi="微软雅黑" w:eastAsia="微软雅黑"/>
        </w:rPr>
        <w:t>系统的整体设计原则,是在出现问题时始终向安全一侧倾斜。通信中断时,船端转入本地自治并停止接受新的远程写入,同时切换备用链路,待恢复后重新建立控制租约;关键传感器失效时,自动调整多源融合的权重;一旦判定卫星定位受到欺骗或失锁,则切换到惯性导航,禁止高等级自动航行,并要求人工确认定位;当算法自身的不确定度过高时,系统会主动退回到仅提供建议的状态,把判断权交还给人。</w:t>
      </w:r>
    </w:p>
    <w:p>
      <w:pPr>
        <w:jc w:val="both"/>
      </w:pPr>
      <w:r>
        <w:rPr>
          <w:rFonts w:ascii="微软雅黑" w:hAnsi="微软雅黑" w:eastAsia="微软雅黑"/>
        </w:rPr>
        <w:t>在自动化程度的演进上,系统遵循循序渐进的路线,从决策支持起步,经由有人监督的自动驾驶,逐步走向特定运行设计域下的远程接管与高等级自主,而不追求一步到位的"全场景自主"。落到本项目,务实的路径是先实现风险预测与辅助操控,并在港区、重复航线等受限工况下验证自动靠泊与自动避碰,再逐步向更高自动化扩展。这一思路与国际海事组织关于海上自主水面船舶的分级演进方向是一致的。</w:t>
      </w:r>
    </w:p>
    <w:p>
      <w:pPr>
        <w:spacing w:before="320" w:after="120"/>
        <w:pBdr>
          <w:bottom w:val="single" w:sz="6" w:space="4" w:color="164E8C"/>
        </w:pBdr>
      </w:pPr>
      <w:r>
        <w:rPr>
          <w:rFonts w:ascii="微软雅黑" w:hAnsi="微软雅黑" w:eastAsia="微软雅黑"/>
          <w:b/>
          <w:color w:val="164E8C"/>
          <w:sz w:val="30"/>
        </w:rPr>
        <w:t>六、国产化与信创</w:t>
      </w:r>
    </w:p>
    <w:p>
      <w:pPr>
        <w:jc w:val="both"/>
      </w:pPr>
      <w:r>
        <w:rPr>
          <w:rFonts w:ascii="微软雅黑" w:hAnsi="微软雅黑" w:eastAsia="微软雅黑"/>
        </w:rPr>
        <w:t>面向央企、监管以及涉密场景,系统从底层起就按照国产化与安全可控的路线设计,支持本地化部署、内网运行、离线推理与数据不外传,核心运行数据、运维数据与控制反馈数据均保留在本地。在算力层面,核心算力的国产化已经落地——边缘主机实配纯血国产的灵汐类脑芯片,提供 INT8 48 TOPS、FP16 24 TFLOPS 的推理能力,而非停留在纸面的承诺。</w:t>
      </w:r>
    </w:p>
    <w:p>
      <w:pPr>
        <w:jc w:val="both"/>
      </w:pPr>
      <w:r>
        <w:rPr>
          <w:rFonts w:ascii="微软雅黑" w:hAnsi="微软雅黑" w:eastAsia="微软雅黑"/>
        </w:rPr>
        <w:t>整体上,系统构建了边缘、本地服务器与 AI 推理三级算力:边缘侧负责多协议接入、数据缓存、边缘解析与轻量规则判断;本地服务器承担数据服务、历史存储、监管与多屏展示;AI 推理侧支撑异常识别、声学分析、虚拟感知与知识库问答。数据栈采用关系型数据库、时序数据库、向量数据库与对象存储的组合,与底座同栈,信创路线天然成立。涉及 AI 分析、知识库问答与故障研判的能力,优先采用本地私有化的大模型与检索增强方式,输出结果可追溯、可由人工确认,既满足智能化需求,又守住了数据安全的底线。</w:t>
      </w:r>
    </w:p>
    <w:p>
      <w:pPr>
        <w:spacing w:before="320" w:after="120"/>
        <w:pBdr>
          <w:bottom w:val="single" w:sz="6" w:space="4" w:color="164E8C"/>
        </w:pBdr>
      </w:pPr>
      <w:r>
        <w:rPr>
          <w:rFonts w:ascii="微软雅黑" w:hAnsi="微软雅黑" w:eastAsia="微软雅黑"/>
          <w:b/>
          <w:color w:val="164E8C"/>
          <w:sz w:val="30"/>
        </w:rPr>
        <w:t>七、差异化优势</w:t>
      </w:r>
    </w:p>
    <w:p>
      <w:pPr>
        <w:jc w:val="both"/>
      </w:pPr>
      <w:r>
        <w:rPr>
          <w:rFonts w:ascii="微软雅黑" w:hAnsi="微软雅黑" w:eastAsia="微软雅黑"/>
        </w:rPr>
        <w:t>与传统的多厂家分散集成相比,本系统的差异并不止于"功能更多",而体现在交付模式、扩展逻辑、AI 形态与可控可信四个维度上的根本不同。</w:t>
      </w:r>
    </w:p>
    <w:tbl>
      <w:tblPr>
        <w:tblStyle w:val="LightGrid-Accent1"/>
        <w:tblW w:type="auto" w:w="0"/>
        <w:jc w:val="center"/>
        <w:tblLook w:firstColumn="1" w:firstRow="1" w:lastColumn="0" w:lastRow="0" w:noHBand="0" w:noVBand="1" w:val="04A0"/>
      </w:tblPr>
      <w:tblGrid>
        <w:gridCol w:w="3097"/>
        <w:gridCol w:w="3097"/>
        <w:gridCol w:w="3097"/>
      </w:tblGrid>
      <w:tr>
        <w:tc>
          <w:tcPr>
            <w:tcW w:type="dxa" w:w="1474"/>
            <w:shd w:val="clear" w:color="auto" w:fill="164E8C"/>
          </w:tcPr>
          <w:p>
            <w:r/>
            <w:r>
              <w:rPr>
                <w:rFonts w:ascii="微软雅黑" w:hAnsi="微软雅黑" w:eastAsia="微软雅黑"/>
                <w:b/>
                <w:color w:val="FFFFFF"/>
                <w:sz w:val="20"/>
              </w:rPr>
              <w:t>维度</w:t>
            </w:r>
          </w:p>
        </w:tc>
        <w:tc>
          <w:tcPr>
            <w:tcW w:type="dxa" w:w="3969"/>
            <w:shd w:val="clear" w:color="auto" w:fill="164E8C"/>
          </w:tcPr>
          <w:p>
            <w:r/>
            <w:r>
              <w:rPr>
                <w:rFonts w:ascii="微软雅黑" w:hAnsi="微软雅黑" w:eastAsia="微软雅黑"/>
                <w:b/>
                <w:color w:val="FFFFFF"/>
                <w:sz w:val="20"/>
              </w:rPr>
              <w:t>智能船机交互系统</w:t>
            </w:r>
          </w:p>
        </w:tc>
        <w:tc>
          <w:tcPr>
            <w:tcW w:type="dxa" w:w="3345"/>
            <w:shd w:val="clear" w:color="auto" w:fill="164E8C"/>
          </w:tcPr>
          <w:p>
            <w:r/>
            <w:r>
              <w:rPr>
                <w:rFonts w:ascii="微软雅黑" w:hAnsi="微软雅黑" w:eastAsia="微软雅黑"/>
                <w:b/>
                <w:color w:val="FFFFFF"/>
                <w:sz w:val="20"/>
              </w:rPr>
              <w:t>传统集成方案</w:t>
            </w:r>
          </w:p>
        </w:tc>
      </w:tr>
      <w:tr>
        <w:tc>
          <w:tcPr>
            <w:tcW w:type="dxa" w:w="1474"/>
          </w:tcPr>
          <w:p>
            <w:r/>
            <w:r>
              <w:rPr>
                <w:rFonts w:ascii="微软雅黑" w:hAnsi="微软雅黑" w:eastAsia="微软雅黑"/>
                <w:sz w:val="20"/>
              </w:rPr>
              <w:t>交付模式</w:t>
            </w:r>
          </w:p>
        </w:tc>
        <w:tc>
          <w:tcPr>
            <w:tcW w:type="dxa" w:w="3969"/>
          </w:tcPr>
          <w:p>
            <w:r/>
            <w:r>
              <w:rPr>
                <w:rFonts w:ascii="微软雅黑" w:hAnsi="微软雅黑" w:eastAsia="微软雅黑"/>
                <w:sz w:val="20"/>
              </w:rPr>
              <w:t>软硬件一体,由一家整合交付,责任单一</w:t>
            </w:r>
          </w:p>
        </w:tc>
        <w:tc>
          <w:tcPr>
            <w:tcW w:type="dxa" w:w="3345"/>
          </w:tcPr>
          <w:p>
            <w:r/>
            <w:r>
              <w:rPr>
                <w:rFonts w:ascii="微软雅黑" w:hAnsi="微软雅黑" w:eastAsia="微软雅黑"/>
                <w:sz w:val="20"/>
              </w:rPr>
              <w:t>软硬件碎片,多家拼装,责任分散</w:t>
            </w:r>
          </w:p>
        </w:tc>
      </w:tr>
      <w:tr>
        <w:tc>
          <w:tcPr>
            <w:tcW w:type="dxa" w:w="1474"/>
          </w:tcPr>
          <w:p>
            <w:r/>
            <w:r>
              <w:rPr>
                <w:rFonts w:ascii="微软雅黑" w:hAnsi="微软雅黑" w:eastAsia="微软雅黑"/>
                <w:sz w:val="20"/>
              </w:rPr>
              <w:t>扩展逻辑</w:t>
            </w:r>
          </w:p>
        </w:tc>
        <w:tc>
          <w:tcPr>
            <w:tcW w:type="dxa" w:w="3969"/>
          </w:tcPr>
          <w:p>
            <w:r/>
            <w:r>
              <w:rPr>
                <w:rFonts w:ascii="微软雅黑" w:hAnsi="微软雅黑" w:eastAsia="微软雅黑"/>
                <w:sz w:val="20"/>
              </w:rPr>
              <w:t>站在不变底座的三套契约之上,低成本新增设备与场景</w:t>
            </w:r>
          </w:p>
        </w:tc>
        <w:tc>
          <w:tcPr>
            <w:tcW w:type="dxa" w:w="3345"/>
          </w:tcPr>
          <w:p>
            <w:r/>
            <w:r>
              <w:rPr>
                <w:rFonts w:ascii="微软雅黑" w:hAnsi="微软雅黑" w:eastAsia="微软雅黑"/>
                <w:sz w:val="20"/>
              </w:rPr>
              <w:t>一船一造,重复改造,牵一发而动全身</w:t>
            </w:r>
          </w:p>
        </w:tc>
      </w:tr>
      <w:tr>
        <w:tc>
          <w:tcPr>
            <w:tcW w:type="dxa" w:w="1474"/>
          </w:tcPr>
          <w:p>
            <w:r/>
            <w:r>
              <w:rPr>
                <w:rFonts w:ascii="微软雅黑" w:hAnsi="微软雅黑" w:eastAsia="微软雅黑"/>
                <w:sz w:val="20"/>
              </w:rPr>
              <w:t>AI 形态</w:t>
            </w:r>
          </w:p>
        </w:tc>
        <w:tc>
          <w:tcPr>
            <w:tcW w:type="dxa" w:w="3969"/>
          </w:tcPr>
          <w:p>
            <w:r/>
            <w:r>
              <w:rPr>
                <w:rFonts w:ascii="微软雅黑" w:hAnsi="微软雅黑" w:eastAsia="微软雅黑"/>
                <w:sz w:val="20"/>
              </w:rPr>
              <w:t>AI 原生,以工况上下文驱动跨设备融合诊断,且边界清晰</w:t>
            </w:r>
          </w:p>
        </w:tc>
        <w:tc>
          <w:tcPr>
            <w:tcW w:type="dxa" w:w="3345"/>
          </w:tcPr>
          <w:p>
            <w:r/>
            <w:r>
              <w:rPr>
                <w:rFonts w:ascii="微软雅黑" w:hAnsi="微软雅黑" w:eastAsia="微软雅黑"/>
                <w:sz w:val="20"/>
              </w:rPr>
              <w:t>传统人机界面,单设备看数据,AI 事后挂载</w:t>
            </w:r>
          </w:p>
        </w:tc>
      </w:tr>
      <w:tr>
        <w:tc>
          <w:tcPr>
            <w:tcW w:type="dxa" w:w="1474"/>
          </w:tcPr>
          <w:p>
            <w:r/>
            <w:r>
              <w:rPr>
                <w:rFonts w:ascii="微软雅黑" w:hAnsi="微软雅黑" w:eastAsia="微软雅黑"/>
                <w:sz w:val="20"/>
              </w:rPr>
              <w:t>可控可信</w:t>
            </w:r>
          </w:p>
        </w:tc>
        <w:tc>
          <w:tcPr>
            <w:tcW w:type="dxa" w:w="3969"/>
          </w:tcPr>
          <w:p>
            <w:r/>
            <w:r>
              <w:rPr>
                <w:rFonts w:ascii="微软雅黑" w:hAnsi="微软雅黑" w:eastAsia="微软雅黑"/>
                <w:sz w:val="20"/>
              </w:rPr>
              <w:t>纯血国产类脑芯片,本地化部署,数据不外传</w:t>
            </w:r>
          </w:p>
        </w:tc>
        <w:tc>
          <w:tcPr>
            <w:tcW w:type="dxa" w:w="3345"/>
          </w:tcPr>
          <w:p>
            <w:r/>
            <w:r>
              <w:rPr>
                <w:rFonts w:ascii="微软雅黑" w:hAnsi="微软雅黑" w:eastAsia="微软雅黑"/>
                <w:sz w:val="20"/>
              </w:rPr>
              <w:t>依赖国外芯片与生态,存在数据外传顾虑</w:t>
            </w:r>
          </w:p>
        </w:tc>
      </w:tr>
    </w:tbl>
    <w:p>
      <w:pPr>
        <w:spacing w:after="40"/>
      </w:pPr>
    </w:p>
    <w:p>
      <w:pPr>
        <w:jc w:val="both"/>
      </w:pPr>
      <w:r>
        <w:rPr>
          <w:rFonts w:ascii="微软雅黑" w:hAnsi="微软雅黑" w:eastAsia="微软雅黑"/>
        </w:rPr>
        <w:t>在这些之外,还有三点值得强调。其一,负责任的 AI 边界本身就是一种竞争力:对监管机构与安全责任主体而言,一套"看得清、却不越界,关键动作始终由人确认"的系统,反而更值得信赖。其二,人机交互是公司的长期积累——智能座舱与人机交互的设计能力被引入到船舶领域,使本系统在界面、操作与体验上具备天然的功底,这是单纯做设备集成的厂商难以追赶的。其三,系统按监管规则原生设计,而非事后适配,这为后续在实船基础上推进船级社认证创造了有利条件。</w:t>
      </w:r>
    </w:p>
    <w:p>
      <w:pPr>
        <w:spacing w:before="320" w:after="120"/>
        <w:pBdr>
          <w:bottom w:val="single" w:sz="6" w:space="4" w:color="164E8C"/>
        </w:pBdr>
      </w:pPr>
      <w:r>
        <w:rPr>
          <w:rFonts w:ascii="微软雅黑" w:hAnsi="微软雅黑" w:eastAsia="微软雅黑"/>
          <w:b/>
          <w:color w:val="164E8C"/>
          <w:sz w:val="30"/>
        </w:rPr>
        <w:t>八、实施路线与交付</w:t>
      </w:r>
    </w:p>
    <w:p>
      <w:pPr>
        <w:jc w:val="both"/>
      </w:pPr>
      <w:r>
        <w:rPr>
          <w:rFonts w:ascii="微软雅黑" w:hAnsi="微软雅黑" w:eastAsia="微软雅黑"/>
        </w:rPr>
        <w:t>项目按照"先打通、再闭环、后增强"的思路分三步推进,每一步都有明确的交付内容与验收口径,且步步之间可独立验收。</w:t>
      </w:r>
    </w:p>
    <w:tbl>
      <w:tblPr>
        <w:tblStyle w:val="LightGrid-Accent1"/>
        <w:tblW w:type="auto" w:w="0"/>
        <w:jc w:val="center"/>
        <w:tblLook w:firstColumn="1" w:firstRow="1" w:lastColumn="0" w:lastRow="0" w:noHBand="0" w:noVBand="1" w:val="04A0"/>
      </w:tblPr>
      <w:tblGrid>
        <w:gridCol w:w="3097"/>
        <w:gridCol w:w="3097"/>
        <w:gridCol w:w="3097"/>
      </w:tblGrid>
      <w:tr>
        <w:tc>
          <w:tcPr>
            <w:tcW w:type="dxa" w:w="1134"/>
            <w:shd w:val="clear" w:color="auto" w:fill="164E8C"/>
          </w:tcPr>
          <w:p>
            <w:r/>
            <w:r>
              <w:rPr>
                <w:rFonts w:ascii="微软雅黑" w:hAnsi="微软雅黑" w:eastAsia="微软雅黑"/>
                <w:b/>
                <w:color w:val="FFFFFF"/>
                <w:sz w:val="20"/>
              </w:rPr>
              <w:t>阶段</w:t>
            </w:r>
          </w:p>
        </w:tc>
        <w:tc>
          <w:tcPr>
            <w:tcW w:type="dxa" w:w="4819"/>
            <w:shd w:val="clear" w:color="auto" w:fill="164E8C"/>
          </w:tcPr>
          <w:p>
            <w:r/>
            <w:r>
              <w:rPr>
                <w:rFonts w:ascii="微软雅黑" w:hAnsi="微软雅黑" w:eastAsia="微软雅黑"/>
                <w:b/>
                <w:color w:val="FFFFFF"/>
                <w:sz w:val="20"/>
              </w:rPr>
              <w:t>实施内容</w:t>
            </w:r>
          </w:p>
        </w:tc>
        <w:tc>
          <w:tcPr>
            <w:tcW w:type="dxa" w:w="2835"/>
            <w:shd w:val="clear" w:color="auto" w:fill="164E8C"/>
          </w:tcPr>
          <w:p>
            <w:r/>
            <w:r>
              <w:rPr>
                <w:rFonts w:ascii="微软雅黑" w:hAnsi="微软雅黑" w:eastAsia="微软雅黑"/>
                <w:b/>
                <w:color w:val="FFFFFF"/>
                <w:sz w:val="20"/>
              </w:rPr>
              <w:t>验收口径</w:t>
            </w:r>
          </w:p>
        </w:tc>
      </w:tr>
      <w:tr>
        <w:tc>
          <w:tcPr>
            <w:tcW w:type="dxa" w:w="1134"/>
          </w:tcPr>
          <w:p>
            <w:r/>
            <w:r>
              <w:rPr>
                <w:rFonts w:ascii="微软雅黑" w:hAnsi="微软雅黑" w:eastAsia="微软雅黑"/>
                <w:sz w:val="20"/>
              </w:rPr>
              <w:t>第一步</w:t>
            </w:r>
          </w:p>
        </w:tc>
        <w:tc>
          <w:tcPr>
            <w:tcW w:type="dxa" w:w="4819"/>
          </w:tcPr>
          <w:p>
            <w:r/>
            <w:r>
              <w:rPr>
                <w:rFonts w:ascii="微软雅黑" w:hAnsi="微软雅黑" w:eastAsia="微软雅黑"/>
                <w:sz w:val="20"/>
              </w:rPr>
              <w:t>在目标船舶完成边缘主机与基础环境部署,实现已知设备的接入、采集、解析与落库,前端可查询实时与历史数据</w:t>
            </w:r>
          </w:p>
        </w:tc>
        <w:tc>
          <w:tcPr>
            <w:tcW w:type="dxa" w:w="2835"/>
          </w:tcPr>
          <w:p>
            <w:r/>
            <w:r>
              <w:rPr>
                <w:rFonts w:ascii="微软雅黑" w:hAnsi="微软雅黑" w:eastAsia="微软雅黑"/>
                <w:sz w:val="20"/>
              </w:rPr>
              <w:t>基础链路稳定运行不少于 30 天,数据联通率高于 90%</w:t>
            </w:r>
          </w:p>
        </w:tc>
      </w:tr>
      <w:tr>
        <w:tc>
          <w:tcPr>
            <w:tcW w:type="dxa" w:w="1134"/>
          </w:tcPr>
          <w:p>
            <w:r/>
            <w:r>
              <w:rPr>
                <w:rFonts w:ascii="微软雅黑" w:hAnsi="微软雅黑" w:eastAsia="微软雅黑"/>
                <w:sz w:val="20"/>
              </w:rPr>
              <w:t>第二步</w:t>
            </w:r>
          </w:p>
        </w:tc>
        <w:tc>
          <w:tcPr>
            <w:tcW w:type="dxa" w:w="4819"/>
          </w:tcPr>
          <w:p>
            <w:r/>
            <w:r>
              <w:rPr>
                <w:rFonts w:ascii="微软雅黑" w:hAnsi="微软雅黑" w:eastAsia="微软雅黑"/>
                <w:sz w:val="20"/>
              </w:rPr>
              <w:t>完善设备台账、端口绑定、实时监控、告警分级与确认,形成可用的监管与运维入口,并按需对接岸端</w:t>
            </w:r>
          </w:p>
        </w:tc>
        <w:tc>
          <w:tcPr>
            <w:tcW w:type="dxa" w:w="2835"/>
          </w:tcPr>
          <w:p>
            <w:r/>
            <w:r>
              <w:rPr>
                <w:rFonts w:ascii="微软雅黑" w:hAnsi="微软雅黑" w:eastAsia="微软雅黑"/>
                <w:sz w:val="20"/>
              </w:rPr>
              <w:t>客户可日常使用的监控与运维入口,满足相关报建与接口要求</w:t>
            </w:r>
          </w:p>
        </w:tc>
      </w:tr>
      <w:tr>
        <w:tc>
          <w:tcPr>
            <w:tcW w:type="dxa" w:w="1134"/>
          </w:tcPr>
          <w:p>
            <w:r/>
            <w:r>
              <w:rPr>
                <w:rFonts w:ascii="微软雅黑" w:hAnsi="微软雅黑" w:eastAsia="微软雅黑"/>
                <w:sz w:val="20"/>
              </w:rPr>
              <w:t>第三步</w:t>
            </w:r>
          </w:p>
        </w:tc>
        <w:tc>
          <w:tcPr>
            <w:tcW w:type="dxa" w:w="4819"/>
          </w:tcPr>
          <w:p>
            <w:r/>
            <w:r>
              <w:rPr>
                <w:rFonts w:ascii="微软雅黑" w:hAnsi="微软雅黑" w:eastAsia="微软雅黑"/>
                <w:sz w:val="20"/>
              </w:rPr>
              <w:t>推进全船软硬件一体、健康评分与 AI 诊断,扩展遥控与船岸协同,并形成标准化复制能力</w:t>
            </w:r>
          </w:p>
        </w:tc>
        <w:tc>
          <w:tcPr>
            <w:tcW w:type="dxa" w:w="2835"/>
          </w:tcPr>
          <w:p>
            <w:r/>
            <w:r>
              <w:rPr>
                <w:rFonts w:ascii="微软雅黑" w:hAnsi="微软雅黑" w:eastAsia="微软雅黑"/>
                <w:sz w:val="20"/>
              </w:rPr>
              <w:t>完成标准化复制方案,具备向同型船推广与岸基中心联调的条件</w:t>
            </w:r>
          </w:p>
        </w:tc>
      </w:tr>
    </w:tbl>
    <w:p>
      <w:pPr>
        <w:spacing w:after="40"/>
      </w:pPr>
    </w:p>
    <w:p>
      <w:pPr>
        <w:jc w:val="both"/>
      </w:pPr>
      <w:r>
        <w:rPr>
          <w:rFonts w:ascii="微软雅黑" w:hAnsi="微软雅黑" w:eastAsia="微软雅黑"/>
        </w:rPr>
        <w:t>为降低决策风险,各阶段之间设有清晰的退出机制:若某一步的验收结果不满意,可随时协商调整,而不影响已交付模块的使用。这种小步快跑的方式,既让客户在早期就能看到实际效果,也把一次性大额投入的风险分散到了可控的节奏中。</w:t>
      </w:r>
    </w:p>
    <w:p>
      <w:pPr>
        <w:jc w:val="both"/>
      </w:pPr>
      <w:r>
        <w:rPr>
          <w:rFonts w:ascii="微软雅黑" w:hAnsi="微软雅黑" w:eastAsia="微软雅黑"/>
        </w:rPr>
        <w:t>整个实施以实船应用为牵引。系统在目标营运船舶上完成安装、联调与不少于 30 天的稳定运行后,即具备了真实、连续的运行数据与现场验证记录;在此基础上,按船级社相关规范推进 CCS 认证,使产品在实船验证与规范认证两条线上同步成熟。对船东而言,这意味着所采用的不是一套停留在实验室的方案,而是一套经过实船检验、并正走向规范认证的系统。</w:t>
      </w:r>
    </w:p>
    <w:p>
      <w:pPr>
        <w:spacing w:before="320" w:after="120"/>
        <w:pBdr>
          <w:bottom w:val="single" w:sz="6" w:space="4" w:color="164E8C"/>
        </w:pBdr>
      </w:pPr>
      <w:r>
        <w:rPr>
          <w:rFonts w:ascii="微软雅黑" w:hAnsi="微软雅黑" w:eastAsia="微软雅黑"/>
          <w:b/>
          <w:color w:val="164E8C"/>
          <w:sz w:val="30"/>
        </w:rPr>
        <w:t>九、相关材料</w:t>
      </w:r>
    </w:p>
    <w:p>
      <w:pPr>
        <w:jc w:val="both"/>
      </w:pPr>
      <w:r>
        <w:rPr>
          <w:rFonts w:ascii="微软雅黑" w:hAnsi="微软雅黑" w:eastAsia="微软雅黑"/>
        </w:rPr>
        <w:t>与本方案配套,另有一份《船舶态势感知与远程控制落地技术方案》单独提供,系统阐述了以视觉识别为核心,融合雷达、激光雷达、AIS、卫星定位与惯导、气象与海流等多源数据的感知体系,以及在此之上的时间同步与总线设计、多层数据融合、风险评分模型、典型风险场景处置与自动驾驶的分级演进。本方案第五节所述的控制与 AI 责任边界,与该材料中的分级控制方案同源、口径一致。如需开展更深入的专项评审,可单独提供该材料。</w:t>
      </w:r>
    </w:p>
    <w:p>
      <w:pPr>
        <w:spacing w:before="280"/>
        <w:jc w:val="center"/>
      </w:pPr>
      <w:r>
        <w:rPr>
          <w:rFonts w:ascii="微软雅黑" w:hAnsi="微软雅黑" w:eastAsia="微软雅黑"/>
          <w:color w:val="666666"/>
          <w:sz w:val="17"/>
        </w:rPr>
        <w:t>本文为产品级技术方案,具体参数与配置以合同约定及现场复勘为准。</w:t>
      </w:r>
    </w:p>
    <w:sectPr w:rsidR="00FC693F" w:rsidRPr="0006063C" w:rsidSect="00034616">
      <w:pgSz w:w="12240" w:h="15840"/>
      <w:pgMar w:top="1361" w:right="147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微软雅黑" w:hAnsi="微软雅黑"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