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产品验收报告</w:t>
      </w:r>
    </w:p>
    <w:p>
      <w:pPr>
        <w:jc w:val="center"/>
      </w:pPr>
      <w:r>
        <w:rPr>
          <w:rFonts w:ascii="Times New Roman" w:hAnsi="Times New Roman" w:eastAsia="仿宋"/>
          <w:b w:val="0"/>
          <w:sz w:val="24"/>
        </w:rPr>
        <w:t>智能座舱(含豪华内饰、信息、能源、内嵌环热控一体化系统、显示交互、座椅等)设计及生产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验收报告编号:____________________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0"/>
              </w:rPr>
              <w:t>验收日期:______年____月____日</w:t>
            </w:r>
          </w:p>
        </w:tc>
      </w:tr>
    </w:tbl>
    <w:p/>
    <w:p>
      <w:r>
        <w:rPr>
          <w:rFonts w:ascii="Arial" w:hAnsi="Arial" w:eastAsia="黑体"/>
          <w:b/>
          <w:sz w:val="28"/>
        </w:rPr>
        <w:t>一、项目与合同基本信息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智能座舱(含豪华内饰、信息、能源、内嵌环热控一体化系统、显示交互、座椅等)设计及生产</w:t>
            </w:r>
          </w:p>
        </w:tc>
      </w:tr>
      <w:tr>
        <w:tc>
          <w:tcPr>
            <w:tcW w:type="dxa" w:w="2551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合同名称 / 编号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技术开发合同  /  ____________________</w:t>
            </w:r>
          </w:p>
        </w:tc>
      </w:tr>
      <w:tr>
        <w:tc>
          <w:tcPr>
            <w:tcW w:type="dxa" w:w="2551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委托方(甲方)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北京空间飞行器总体设计部</w:t>
            </w:r>
          </w:p>
        </w:tc>
      </w:tr>
      <w:tr>
        <w:tc>
          <w:tcPr>
            <w:tcW w:type="dxa" w:w="2551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受托方(乙方)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浦江泽智能科技(昆山)有限公司</w:t>
            </w:r>
          </w:p>
        </w:tc>
      </w:tr>
      <w:tr>
        <w:tc>
          <w:tcPr>
            <w:tcW w:type="dxa" w:w="2551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合同总价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人民币 185 万元整(¥1,850,000.00),固定价,税率 6%</w:t>
            </w:r>
          </w:p>
        </w:tc>
      </w:tr>
      <w:tr>
        <w:tc>
          <w:tcPr>
            <w:tcW w:type="dxa" w:w="2551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技术文件编号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WY-YY/717GTJY1103《智能座舱…设计及生产 技术要求》</w:t>
            </w:r>
          </w:p>
        </w:tc>
      </w:tr>
      <w:tr>
        <w:tc>
          <w:tcPr>
            <w:tcW w:type="dxa" w:w="2551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合同约定交付期限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2025 年 12 月 30 日前(制造周期计划 40 个自然日)</w:t>
            </w:r>
          </w:p>
        </w:tc>
      </w:tr>
      <w:tr>
        <w:tc>
          <w:tcPr>
            <w:tcW w:type="dxa" w:w="2551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验收地点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□ 乙方场地(模型终验收)   □ 甲方指定地点:北京 / 杭州</w:t>
            </w:r>
          </w:p>
        </w:tc>
      </w:tr>
    </w:tbl>
    <w:p>
      <w:r>
        <w:rPr>
          <w:rFonts w:ascii="Arial" w:hAnsi="Arial" w:eastAsia="黑体"/>
          <w:b/>
          <w:sz w:val="28"/>
        </w:rPr>
        <w:t>二、验收依据</w:t>
      </w:r>
    </w:p>
    <w:p>
      <w:r>
        <w:rPr>
          <w:rFonts w:ascii="Times New Roman" w:hAnsi="Times New Roman" w:eastAsia="宋体"/>
          <w:b w:val="0"/>
          <w:sz w:val="21"/>
        </w:rPr>
        <w:t>1. 《技术开发合同》第四条「质量保证与验收」相关约定;</w:t>
      </w:r>
    </w:p>
    <w:p>
      <w:r>
        <w:rPr>
          <w:rFonts w:ascii="Times New Roman" w:hAnsi="Times New Roman" w:eastAsia="宋体"/>
          <w:b w:val="0"/>
          <w:sz w:val="21"/>
        </w:rPr>
        <w:t>2. 技术协议书 V1.0 第三节「验收标准」及技术文件(WY-YY/717GTJY1103)相关技术指标;</w:t>
      </w:r>
    </w:p>
    <w:p>
      <w:r>
        <w:rPr>
          <w:rFonts w:ascii="Times New Roman" w:hAnsi="Times New Roman" w:eastAsia="宋体"/>
          <w:b w:val="0"/>
          <w:sz w:val="21"/>
        </w:rPr>
        <w:t>3. GJB 5711-2006《装备质量问题处理通用要求》及武器装备质量责任相关要求;</w:t>
      </w:r>
    </w:p>
    <w:p>
      <w:r>
        <w:rPr>
          <w:rFonts w:ascii="Times New Roman" w:hAnsi="Times New Roman" w:eastAsia="宋体"/>
          <w:b w:val="0"/>
          <w:sz w:val="21"/>
        </w:rPr>
        <w:t>4. 甲方指定评审专家对设计方案及产品的评审意见。</w:t>
      </w:r>
    </w:p>
    <w:p>
      <w:r>
        <w:rPr>
          <w:rFonts w:ascii="Arial" w:hAnsi="Arial" w:eastAsia="黑体"/>
          <w:b/>
          <w:sz w:val="28"/>
        </w:rPr>
        <w:t>三、验收方式与过程</w:t>
      </w:r>
    </w:p>
    <w:p>
      <w:r>
        <w:rPr>
          <w:rFonts w:ascii="Times New Roman" w:hAnsi="Times New Roman" w:eastAsia="宋体"/>
          <w:b w:val="0"/>
          <w:sz w:val="21"/>
        </w:rPr>
        <w:t>1. 验收方式:由甲方指定评审专家,采用评审方式进行验收,验收合格后由甲方出具验收证明。</w:t>
      </w:r>
    </w:p>
    <w:p>
      <w:r>
        <w:rPr>
          <w:rFonts w:ascii="Times New Roman" w:hAnsi="Times New Roman" w:eastAsia="宋体"/>
          <w:b w:val="0"/>
          <w:sz w:val="21"/>
        </w:rPr>
        <w:t>2. 设计方案须经甲方认可后方可进入产品阶段。</w:t>
      </w:r>
    </w:p>
    <w:p>
      <w:r>
        <w:rPr>
          <w:rFonts w:ascii="Times New Roman" w:hAnsi="Times New Roman" w:eastAsia="宋体"/>
          <w:b w:val="0"/>
          <w:sz w:val="21"/>
        </w:rPr>
        <w:t>3. 模型终验收在乙方场地进行,以便验收过程中进行细致调整;甲方验收完成后再安排发运。</w:t>
      </w:r>
    </w:p>
    <w:p>
      <w:r>
        <w:rPr>
          <w:rFonts w:ascii="Times New Roman" w:hAnsi="Times New Roman" w:eastAsia="宋体"/>
          <w:b w:val="0"/>
          <w:sz w:val="21"/>
        </w:rPr>
        <w:t>4. 现场调整期:模型运抵甲方指定场地后,允许不超过 3 个自然日的现场调整。</w:t>
      </w:r>
    </w:p>
    <w:p>
      <w:r>
        <w:rPr>
          <w:rFonts w:ascii="Arial" w:hAnsi="Arial" w:eastAsia="黑体"/>
          <w:b/>
          <w:sz w:val="28"/>
        </w:rPr>
        <w:t>四、交付物验收逐项对照表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37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交付物名称</w:t>
            </w:r>
          </w:p>
        </w:tc>
        <w:tc>
          <w:tcPr>
            <w:tcW w:type="dxa" w:w="3515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合同 / 技术协议要求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实测 / 核验结果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座舱内外造型效果图(1 套)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按甲方要求;造型创意 ≥3 款,造型方案 3 选 1 细化;含座舱、座椅、地板等内外饰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□符合 □不符合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内外饰 CAS 数据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按甲方要求,提供完整内外饰 CAS 数据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□符合 □不符合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座舱 CMF 色彩方案定义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按甲方要求;体现新材料/科技材料/环保材料/轻量化材料应用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□符合 □不符合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太空舱视频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分辨率 ≥2560×1440;时长 ≥1分30秒;配套背景音乐;含舱内外视角及座椅姿态展示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□符合 □不符合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座椅独立展示件(1 台)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座舱模型座椅具备坐姿&amp;躺姿两种姿态调节功能,且两种状态可通过外接设备控制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□符合 □不符合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整体</w:t>
            </w:r>
          </w:p>
        </w:tc>
        <w:tc>
          <w:tcPr>
            <w:tcW w:type="dxa" w:w="2041"/>
            <w:gridSpan w:val="3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整体验收结论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□合格 □不合格</w:t>
            </w:r>
          </w:p>
        </w:tc>
      </w:tr>
    </w:tbl>
    <w:p>
      <w:r>
        <w:rPr>
          <w:rFonts w:ascii="Arial" w:hAnsi="Arial" w:eastAsia="黑体"/>
          <w:b/>
          <w:sz w:val="28"/>
        </w:rPr>
        <w:t>五、交付物证明材料(照片 / 截图)</w:t>
      </w:r>
    </w:p>
    <w:p>
      <w:r>
        <w:rPr>
          <w:rFonts w:ascii="Times New Roman" w:hAnsi="Times New Roman" w:eastAsia="宋体"/>
          <w:b w:val="0"/>
          <w:sz w:val="18"/>
        </w:rPr>
        <w:t>说明:以下各栏粘贴对应交付物的证明材料(实物照片、效果图截图、视频参数截图、外接设备控制演示截图等),此处留空待现场填充。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证明材料 1:座舱内外造型效果图(1 套)</w:t>
            </w:r>
          </w:p>
        </w:tc>
      </w:tr>
      <w:tr>
        <w:trPr>
          <w:trHeight w:val="18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6A6A6"/>
                <w:sz w:val="18"/>
              </w:rPr>
              <w:t>(此处插入图片)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证明材料 2:内外饰 CAS 数据(截图)</w:t>
            </w:r>
          </w:p>
        </w:tc>
      </w:tr>
      <w:tr>
        <w:trPr>
          <w:trHeight w:val="18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6A6A6"/>
                <w:sz w:val="18"/>
              </w:rPr>
              <w:t>(此处插入图片)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证明材料 3:座舱 CMF 色彩方案定义</w:t>
            </w:r>
          </w:p>
        </w:tc>
      </w:tr>
      <w:tr>
        <w:trPr>
          <w:trHeight w:val="18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6A6A6"/>
                <w:sz w:val="18"/>
              </w:rPr>
              <w:t>(此处插入图片)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证明材料 4:太空舱视频(画面截图 + 分辨率/时长参数截图)</w:t>
            </w:r>
          </w:p>
        </w:tc>
      </w:tr>
      <w:tr>
        <w:trPr>
          <w:trHeight w:val="18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6A6A6"/>
                <w:sz w:val="18"/>
              </w:rPr>
              <w:t>(此处插入图片)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证明材料 5:座椅独立展示件 —— 坐姿姿态(照片)</w:t>
            </w:r>
          </w:p>
        </w:tc>
      </w:tr>
      <w:tr>
        <w:trPr>
          <w:trHeight w:val="18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6A6A6"/>
                <w:sz w:val="18"/>
              </w:rPr>
              <w:t>(此处插入图片)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证明材料 6:座椅独立展示件 —— 躺姿姿态(照片)</w:t>
            </w:r>
          </w:p>
        </w:tc>
      </w:tr>
      <w:tr>
        <w:trPr>
          <w:trHeight w:val="18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6A6A6"/>
                <w:sz w:val="18"/>
              </w:rPr>
              <w:t>(此处插入图片)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D9D9D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证明材料 7:座椅外接设备控制演示(照片 / 截图)</w:t>
            </w:r>
          </w:p>
        </w:tc>
      </w:tr>
      <w:tr>
        <w:trPr>
          <w:trHeight w:val="1800" w:hRule="atLeas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A6A6A6"/>
                <w:sz w:val="18"/>
              </w:rPr>
              <w:t>(此处插入图片)</w:t>
            </w:r>
          </w:p>
        </w:tc>
      </w:tr>
    </w:tbl>
    <w:p/>
    <w:p>
      <w:r>
        <w:rPr>
          <w:rFonts w:ascii="Arial" w:hAnsi="Arial" w:eastAsia="黑体"/>
          <w:b/>
          <w:sz w:val="28"/>
        </w:rPr>
        <w:t>六、遗留问题与整改要求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37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问题描述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整改要求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整改完成期限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969"/>
          </w:tcPr>
          <w:p/>
        </w:tc>
        <w:tc>
          <w:tcPr>
            <w:tcW w:type="dxa" w:w="323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969"/>
          </w:tcPr>
          <w:p/>
        </w:tc>
        <w:tc>
          <w:tcPr>
            <w:tcW w:type="dxa" w:w="323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969"/>
          </w:tcPr>
          <w:p/>
        </w:tc>
        <w:tc>
          <w:tcPr>
            <w:tcW w:type="dxa" w:w="3231"/>
          </w:tcPr>
          <w:p/>
        </w:tc>
        <w:tc>
          <w:tcPr>
            <w:tcW w:type="dxa" w:w="1701"/>
          </w:tcPr>
          <w:p/>
        </w:tc>
      </w:tr>
    </w:tbl>
    <w:p>
      <w:r>
        <w:rPr>
          <w:rFonts w:ascii="Arial" w:hAnsi="Arial" w:eastAsia="黑体"/>
          <w:b/>
          <w:sz w:val="28"/>
        </w:rPr>
        <w:t>七、质量保证与售后约定</w:t>
      </w:r>
    </w:p>
    <w:p>
      <w:r>
        <w:rPr>
          <w:rFonts w:ascii="Times New Roman" w:hAnsi="Times New Roman" w:eastAsia="宋体"/>
          <w:b w:val="0"/>
          <w:sz w:val="21"/>
        </w:rPr>
        <w:t>1. 产品质量保证期:5 年,自验收合格之日起算(主合同第四条;技术协议另约定座椅模型 6 个月免费质保,以主合同 5 年为准)。</w:t>
      </w:r>
    </w:p>
    <w:p>
      <w:r>
        <w:rPr>
          <w:rFonts w:ascii="Times New Roman" w:hAnsi="Times New Roman" w:eastAsia="宋体"/>
          <w:b w:val="0"/>
          <w:sz w:val="21"/>
        </w:rPr>
        <w:t>2. 验收未通过的质保金扣减:首次验收未通过扣 50%、再次验收未通过扣 100%;验收合格后运行 3 个月内出现重大质量问题,按责任扣 50%/100%(本合同质保金为 0.00 元)。</w:t>
      </w:r>
    </w:p>
    <w:p>
      <w:r>
        <w:rPr>
          <w:rFonts w:ascii="Times New Roman" w:hAnsi="Times New Roman" w:eastAsia="宋体"/>
          <w:b w:val="0"/>
          <w:sz w:val="21"/>
        </w:rPr>
        <w:t>3. 乙方免费为甲方指定人员提供技术支持与培训(含产品介绍、维护等),并免费解决因产品设计导致的缺陷及软硬件优化。</w:t>
      </w:r>
    </w:p>
    <w:p>
      <w:r>
        <w:rPr>
          <w:rFonts w:ascii="Arial" w:hAnsi="Arial" w:eastAsia="黑体"/>
          <w:b/>
          <w:sz w:val="28"/>
        </w:rPr>
        <w:t>八、验收结论与付款触发</w:t>
      </w:r>
    </w:p>
    <w:p>
      <w:r>
        <w:rPr>
          <w:rFonts w:ascii="Times New Roman" w:hAnsi="Times New Roman" w:eastAsia="宋体"/>
          <w:b w:val="0"/>
          <w:sz w:val="21"/>
        </w:rPr>
        <w:t>综合上述验收情况,本项目交付物验收结论为:□ 合格(准予验收)   □ 不合格(限期整改后复验)。</w:t>
      </w:r>
    </w:p>
    <w:p>
      <w:r>
        <w:rPr>
          <w:rFonts w:ascii="Times New Roman" w:hAnsi="Times New Roman" w:eastAsia="宋体"/>
          <w:b w:val="0"/>
          <w:sz w:val="21"/>
        </w:rPr>
        <w:t>付款触发:验收合格后,触发第二期款项 ¥925,000.00(占合同总价 50%);乙方应在收款前 3 个工作日内开具有效增值税专用发票。</w:t>
      </w:r>
    </w:p>
    <w:p/>
    <w:p>
      <w:r>
        <w:rPr>
          <w:rFonts w:ascii="Arial" w:hAnsi="Arial" w:eastAsia="黑体"/>
          <w:b/>
          <w:sz w:val="28"/>
        </w:rPr>
        <w:t>九、验收签署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甲方(委托方):北京空间飞行器总体设计部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乙方(受托方):浦江泽智能科技(昆山)有限公司</w:t>
            </w:r>
          </w:p>
        </w:tc>
      </w:tr>
      <w:tr>
        <w:trPr>
          <w:trHeight w:val="900" w:hRule="atLeast"/>
        </w:trPr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验收组组长(签字):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代表人(签字):</w:t>
            </w:r>
          </w:p>
        </w:tc>
      </w:tr>
      <w:tr>
        <w:trPr>
          <w:trHeight w:val="900" w:hRule="atLeast"/>
        </w:trPr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验收组成员(签字):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rPr>
          <w:trHeight w:val="900" w:hRule="atLeast"/>
        </w:trPr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单位(盖章):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单位(盖章):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日期:    年   月   日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日期:    年   月   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