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武汉东湖智能游艇示范项目 · 对标"智航·船端智能一体化平台"差异化分析</w:t>
      </w:r>
    </w:p>
    <w:p>
      <w:pPr>
        <w:spacing w:before="120" w:after="560"/>
        <w:jc w:val="center"/>
      </w:pPr>
      <w:r>
        <w:rPr>
          <w:rFonts w:ascii="微软雅黑" w:hAnsi="微软雅黑" w:eastAsia="微软雅黑"/>
          <w:color w:val="2E5B8A"/>
          <w:sz w:val="28"/>
        </w:rPr>
        <w:t>对标『智航·船端智能一体化平台』差异化分析</w:t>
      </w:r>
    </w:p>
    <w:p>
      <w:pPr>
        <w:pBdr>
          <w:bottom w:val="single" w:sz="24" w:space="4" w:color="1F3864"/>
        </w:pBdr>
        <w:spacing w:after="480"/>
      </w:pP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对标对象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智航 · 船端智能一体化平台核心产品技术方案 V1.0(2026.06,面向总体所汇报,48 页)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本方相关材料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武汉东湖智能游艇示范项目 · 驾控台及智控系统技术方案 V1.0(见同目录)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分析目的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诚实定位本项目在行业标杆坐标系中的位置:哪些原则已经具备只是没有正式表述、哪些是可低成本补充的文档/软件缺口、哪些是完全不在当前供货范围内的能力级差距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使用原则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b/>
                <w:color w:val="1F3864"/>
                <w:sz w:val="21"/>
              </w:rPr>
              <w:t>不虚构能力</w:t>
            </w:r>
            <w:r>
              <w:rPr>
                <w:rFonts w:ascii="宋体" w:hAnsi="宋体" w:eastAsia="宋体"/>
                <w:sz w:val="21"/>
              </w:rPr>
              <w:t>——本文档不会把武汉东湖描述成具备智航支柱二(自主航行)的能力;所有"差距"与"建议"均标注是否需要新增硬件/软件/立项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版本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目　　录</w:t>
      </w:r>
    </w:p>
    <w:p>
      <w:r>
        <w:fldChar w:fldCharType="begin"/>
        <w:instrText xml:space="preserve">TOC \o "1-2" \h \z \u</w:instrText>
        <w:fldChar w:fldCharType="separate"/>
        <w:t>请在 Word 中右键点击此处 → 更新域，以生成目录 / Right-click → Update Field</w:t>
        <w:fldChar w:fldCharType="end"/>
      </w:r>
    </w:p>
    <w:p>
      <w:r>
        <w:br w:type="page"/>
      </w: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一、结论先行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武汉东湖智能游艇示范项目,对应智航方案两大支柱中的</w:t>
      </w:r>
      <w:r>
        <w:rPr>
          <w:rFonts w:ascii="宋体" w:hAnsi="宋体" w:eastAsia="宋体"/>
          <w:b/>
          <w:i/>
          <w:color w:val="595959"/>
          <w:sz w:val="20"/>
        </w:rPr>
        <w:t>支柱一(船舶智能人机交互)的一个小型单船落地案例</w:t>
      </w:r>
      <w:r>
        <w:rPr>
          <w:rFonts w:ascii="宋体" w:hAnsi="宋体" w:eastAsia="宋体"/>
          <w:i/>
          <w:color w:val="595959"/>
          <w:sz w:val="20"/>
        </w:rPr>
        <w:t>——即"设备到数据、数据到人机"这条线;</w:t>
      </w:r>
      <w:r>
        <w:rPr>
          <w:rFonts w:ascii="宋体" w:hAnsi="宋体" w:eastAsia="宋体"/>
          <w:b/>
          <w:i/>
          <w:color w:val="595959"/>
          <w:sz w:val="20"/>
        </w:rPr>
        <w:t>不具备、也不宣称</w:t>
      </w:r>
      <w:r>
        <w:rPr>
          <w:rFonts w:ascii="宋体" w:hAnsi="宋体" w:eastAsia="宋体"/>
          <w:i/>
          <w:color w:val="595959"/>
          <w:sz w:val="20"/>
        </w:rPr>
        <w:t>具备支柱二(船舶智能驾驶:多源融合感知 + 自主决策控制)的任何能力。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- 在</w:t>
      </w:r>
      <w:r>
        <w:rPr>
          <w:rFonts w:ascii="宋体" w:hAnsi="宋体" w:eastAsia="宋体"/>
          <w:b/>
          <w:color w:val="1F3864"/>
          <w:sz w:val="21"/>
        </w:rPr>
        <w:t>支柱一对应的维度</w:t>
      </w:r>
      <w:r>
        <w:rPr>
          <w:rFonts w:ascii="宋体" w:hAnsi="宋体" w:eastAsia="宋体"/>
          <w:sz w:val="21"/>
        </w:rPr>
        <w:t>上(数据接入、旁路只读、安全通道解耦、双屏HMI、交付方法论),武汉东湖的技术路线与智航的设计原则</w:t>
      </w:r>
      <w:r>
        <w:rPr>
          <w:rFonts w:ascii="宋体" w:hAnsi="宋体" w:eastAsia="宋体"/>
          <w:b/>
          <w:color w:val="1F3864"/>
          <w:sz w:val="21"/>
        </w:rPr>
        <w:t>方向一致</w:t>
      </w:r>
      <w:r>
        <w:rPr>
          <w:rFonts w:ascii="宋体" w:hAnsi="宋体" w:eastAsia="宋体"/>
          <w:sz w:val="21"/>
        </w:rPr>
        <w:t>,差距主要在"规模"与"文档表述的正式程度",多数可以</w:t>
      </w:r>
      <w:r>
        <w:rPr>
          <w:rFonts w:ascii="宋体" w:hAnsi="宋体" w:eastAsia="宋体"/>
          <w:b/>
          <w:color w:val="1F3864"/>
          <w:sz w:val="21"/>
        </w:rPr>
        <w:t>低成本补齐</w:t>
      </w:r>
      <w:r>
        <w:rPr>
          <w:rFonts w:ascii="宋体" w:hAnsi="宋体" w:eastAsia="宋体"/>
          <w:sz w:val="21"/>
        </w:rPr>
        <w:t>(重新表述/软件层增强/文档补充),不需要新增硬件。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- 在</w:t>
      </w:r>
      <w:r>
        <w:rPr>
          <w:rFonts w:ascii="宋体" w:hAnsi="宋体" w:eastAsia="宋体"/>
          <w:b/>
          <w:color w:val="1F3864"/>
          <w:sz w:val="21"/>
        </w:rPr>
        <w:t>支柱二对应的维度</w:t>
      </w:r>
      <w:r>
        <w:rPr>
          <w:rFonts w:ascii="宋体" w:hAnsi="宋体" w:eastAsia="宋体"/>
          <w:sz w:val="21"/>
        </w:rPr>
        <w:t>上(多源融合感知、自主航行决策、DCPA/TCPA碰撞风险、DP动力定位),武汉东湖</w:t>
      </w:r>
      <w:r>
        <w:rPr>
          <w:rFonts w:ascii="宋体" w:hAnsi="宋体" w:eastAsia="宋体"/>
          <w:b/>
          <w:color w:val="1F3864"/>
          <w:sz w:val="21"/>
        </w:rPr>
        <w:t>完全不具备</w:t>
      </w:r>
      <w:r>
        <w:rPr>
          <w:rFonts w:ascii="宋体" w:hAnsi="宋体" w:eastAsia="宋体"/>
          <w:sz w:val="21"/>
        </w:rPr>
        <w:t>,如客户希望具备,属于</w:t>
      </w:r>
      <w:r>
        <w:rPr>
          <w:rFonts w:ascii="宋体" w:hAnsi="宋体" w:eastAsia="宋体"/>
          <w:b/>
          <w:color w:val="1F3864"/>
          <w:sz w:val="21"/>
        </w:rPr>
        <w:t>全新立项</w:t>
      </w:r>
      <w:r>
        <w:rPr>
          <w:rFonts w:ascii="宋体" w:hAnsi="宋体" w:eastAsia="宋体"/>
          <w:sz w:val="21"/>
        </w:rPr>
        <w:t>,需要新增传感器矩阵与自主决策算力,详见第四章"能力路线图"。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- 武汉东湖有一项智航材料未曾涉及的</w:t>
      </w:r>
      <w:r>
        <w:rPr>
          <w:rFonts w:ascii="宋体" w:hAnsi="宋体" w:eastAsia="宋体"/>
          <w:b/>
          <w:color w:val="1F3864"/>
          <w:sz w:val="21"/>
        </w:rPr>
        <w:t>独有亮点</w:t>
      </w:r>
      <w:r>
        <w:rPr>
          <w:rFonts w:ascii="宋体" w:hAnsi="宋体" w:eastAsia="宋体"/>
          <w:sz w:val="21"/>
        </w:rPr>
        <w:t>:双驾控台(主/副)对等冗余 + 双 VCU 权限仲裁设计。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二、支柱一对应维度:逐项差异化对比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2.1 数据接入与总线设计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差距结论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接入规模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单台终端接入 50+ 设备类,示例 150–300 数据点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约 20 余类信号点(推进×2、电池×2、液位、舱底水×6、报警器等)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规模差一个数量级,符合"游艇 vs 通用平台"的量级差异,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非缺陷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总线分类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四大协议类:航海数据接口/工业总线/视频接口/硬接线 I/O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四类总线:CAN/以太网/RS485-RS232-模拟量/硬接线,与智航分类逻辑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一一对应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分类思路一致,证明本方案架构方向正确;协议解析尚未模板化(智航强调"配置解析模板,已知设备可自动绑定"),武汉东湖目前是逐点定义(见 Excel 接线清单),规模小暂不构成问题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旁路/隔离/只读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明确写成不可讨论的红线原则,并单独成页强调"这是被信任的前提"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惯导/雷达/报警器等信号技术实质上就是只读采集,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但技术协议与接线说明中没有把它写成正式的"旁路/隔离/只读"承诺条款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可低成本补齐的文档缺口</w:t>
            </w:r>
            <w:r>
              <w:rPr>
                <w:rFonts w:ascii="宋体" w:hAnsi="宋体" w:eastAsia="宋体"/>
                <w:sz w:val="19"/>
              </w:rPr>
              <w:t>:建议在正式技术协议/详设文档中补充一条"对既有导航与安全设备,一律旁路、隔离、只读接入,不向其总线施加负载"的正式声明,不涉及硬件改动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2.2 安全独立性设计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差距结论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通道分离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正式命名为"安全独立性三原则"之一:控制写入与监测采集通道物理与逻辑分离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已落地但未正式命名:急停/电池急停/电源启停等安全信号硬接线直连,不经 VCU;推进启停/故障等常规操作经 VCU 走 CAN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技术实质已具备,只是没有用这套语言正式表述</w:t>
            </w:r>
            <w:r>
              <w:rPr>
                <w:rFonts w:ascii="宋体" w:hAnsi="宋体" w:eastAsia="宋体"/>
                <w:sz w:val="19"/>
              </w:rPr>
              <w:t>——建议在 V2 中把这一已有设计正式命名为"控制通道与安全通道物理分离"原则,提炼进文档显眼位置(详见第三章)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故障不降级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正式原则:死机/误输出/断电不得降低原系统安全等级;接口侧独立限幅、互锁、fail-to-safe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未定义</w:t>
            </w:r>
            <w:r>
              <w:rPr>
                <w:rFonts w:ascii="宋体" w:hAnsi="宋体" w:eastAsia="宋体"/>
                <w:sz w:val="19"/>
              </w:rPr>
              <w:t>:VCU 死机、CAN 总线丢包/断线时,推进器应执行什么动作,现有材料未说明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真实的设计缺口</w:t>
            </w:r>
            <w:r>
              <w:rPr>
                <w:rFonts w:ascii="宋体" w:hAnsi="宋体" w:eastAsia="宋体"/>
                <w:sz w:val="19"/>
              </w:rPr>
              <w:t>,建议在 V2 补充为"设计要求"写入文档(如:CAN 通信超时后推进器应就地保持当前指令且不接受新的非急停类指令,直至通信恢复),不需要新增硬件,是详设阶段必须明确的行为规格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失效场景覆盖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六类失效场景逐条给出确定性降级动作(通信中断/传感器失效/卫导欺骗/误诊断/接口异常/网络入侵)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现有"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待定</w:t>
            </w:r>
            <w:r>
              <w:rPr>
                <w:rFonts w:ascii="宋体" w:hAnsi="宋体" w:eastAsia="宋体"/>
                <w:sz w:val="19"/>
              </w:rPr>
              <w:t>项与风险登记"(V1 第八章)覆盖的是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未决事项</w:t>
            </w:r>
            <w:r>
              <w:rPr>
                <w:rFonts w:ascii="宋体" w:hAnsi="宋体" w:eastAsia="宋体"/>
                <w:sz w:val="19"/>
              </w:rPr>
              <w:t>,不是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失效场景应对预案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建议在 V2 新增一张"失效场景与应对"表,覆盖武汉东湖实际会遇到的场景(CAN 总线中断、VCU 死机、惯导失锁、4G 断网等),这是把智航"失效场景穷举表"这一打法,套用到本项目真实存在的失效场景上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2.3 控制分级逻辑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分级方式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四档(建议/辅助/自动/远控),风险评分(0–1)驱动,逐档定义触发条件、典型输出、是否需人确认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二档(INT 手柄手动 / EXT 智控),简单开关切换,无风险评分概念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"智控"实质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"自动"档要求 ODD 内 + 关键传感器健康,"远控"要求通信正常且经岸基生效——均需专门安全论证与船级社认可,并明确"不作即期承诺"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现有"智控"仅为角度/转速闭环跟随(遥控层面),不具备路径规划、避障或风险评分能力</w:t>
            </w:r>
          </w:p>
        </w:tc>
      </w:tr>
    </w:tbl>
    <w:p>
      <w:pPr>
        <w:spacing w:after="200"/>
      </w:pP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b/>
          <w:i/>
          <w:color w:val="595959"/>
          <w:sz w:val="20"/>
        </w:rPr>
        <w:t>措辞风险提示</w:t>
      </w:r>
      <w:r>
        <w:rPr>
          <w:rFonts w:ascii="宋体" w:hAnsi="宋体" w:eastAsia="宋体"/>
          <w:i/>
          <w:color w:val="595959"/>
          <w:sz w:val="20"/>
        </w:rPr>
        <w:t>:武汉东湖方案中的"智控系统""智控模式"这一命名,容易让客户/评审误以为对标智航支柱二的"自主决策"能力。</w:t>
      </w:r>
      <w:r>
        <w:rPr>
          <w:rFonts w:ascii="宋体" w:hAnsi="宋体" w:eastAsia="宋体"/>
          <w:b/>
          <w:i/>
          <w:color w:val="595959"/>
          <w:sz w:val="20"/>
        </w:rPr>
        <w:t>建议在对外沟通与文档中明确边界</w:t>
      </w:r>
      <w:r>
        <w:rPr>
          <w:rFonts w:ascii="宋体" w:hAnsi="宋体" w:eastAsia="宋体"/>
          <w:i/>
          <w:color w:val="595959"/>
          <w:sz w:val="20"/>
        </w:rPr>
        <w:t>:武汉东湖的"智控"准确定义应为"电子遥控 + 闭环跟随",不涉及自主决策,避免命名引发能力误判。这是一个</w:t>
      </w:r>
      <w:r>
        <w:rPr>
          <w:rFonts w:ascii="宋体" w:hAnsi="宋体" w:eastAsia="宋体"/>
          <w:b/>
          <w:i/>
          <w:color w:val="595959"/>
          <w:sz w:val="20"/>
        </w:rPr>
        <w:t>零成本、高价值</w:t>
      </w:r>
      <w:r>
        <w:rPr>
          <w:rFonts w:ascii="宋体" w:hAnsi="宋体" w:eastAsia="宋体"/>
          <w:i/>
          <w:color w:val="595959"/>
          <w:sz w:val="20"/>
        </w:rPr>
        <w:t>的措辞</w:t>
      </w:r>
      <w:r>
        <w:rPr>
          <w:rFonts w:ascii="宋体" w:hAnsi="宋体" w:eastAsia="宋体"/>
          <w:b/>
          <w:i/>
          <w:color w:val="C5500B"/>
          <w:sz w:val="20"/>
        </w:rPr>
        <w:t>澄清</w:t>
      </w:r>
      <w:r>
        <w:rPr>
          <w:rFonts w:ascii="宋体" w:hAnsi="宋体" w:eastAsia="宋体"/>
          <w:i/>
          <w:color w:val="595959"/>
          <w:sz w:val="20"/>
        </w:rPr>
        <w:t>,不涉及任何技术改动。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2.4 网络安全设计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差距结论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分区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OT/IT/船岸三域强边界,工业防火墙+单向网闸物理隔离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有物理网络拓扑(CAN域/以太网域/串口域/硬接线域),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没有访问控制、鉴权、防火墙设计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真实短板</w:t>
            </w:r>
            <w:r>
              <w:rPr>
                <w:rFonts w:ascii="宋体" w:hAnsi="宋体" w:eastAsia="宋体"/>
                <w:sz w:val="19"/>
              </w:rPr>
              <w:t>:4G/5G 路由器直连船端交换机上云,协议材料未提及任何网络安全网关/DMZ/白名单机制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命令鉴权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远程指令身份鉴别、授权与签名、控制租约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无相关设计(本船暂无远程接管功能,风险敞口相对小)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由于武汉东湖目前不含岸基远程接管功能,此项差距的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实际风险等级低于智航场景</w:t>
            </w:r>
            <w:r>
              <w:rPr>
                <w:rFonts w:ascii="宋体" w:hAnsi="宋体" w:eastAsia="宋体"/>
                <w:sz w:val="19"/>
              </w:rPr>
              <w:t>,但云端数据上传通道仍建议补充基本的网络安全网关,详见第三章建议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2.5 可靠性与冗余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硬件冗余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双机热备/主备切换、硬件看门狗、应急配电/UPS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双路供电(AC220+DC24)+独立应急电源+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双 VCU(主/副驾控台各一,经 CAN 仲裁)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设计思路一致,武汉东湖的双 VCU 甚至是智航材料未涉及的场景(多驾控台冗余)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软件可靠性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消息客户端自动重连、容器级重启恢复、日志归档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材料未提及采控单元固件的自愈/重连机制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文档空白,建议在软件详设阶段明确(通常嵌入式采控单元厂商会有默认实现,建议要求供应商书面确认)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量化指标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监控系统可用度 ≥99.x%(按船东要求)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无量化可用度承诺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建议在 V2 验收表中补充可用度目标值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2.6 智慧驾控台 / HMI 呈现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能力线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看/问/操/控四线,"问"对应关联分析+情境问答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有"看"(双屏显示)+"控"(按键/手柄),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没有"问"</w:t>
            </w:r>
            <w:r>
              <w:rPr>
                <w:rFonts w:ascii="宋体" w:hAnsi="宋体" w:eastAsia="宋体"/>
                <w:sz w:val="19"/>
              </w:rPr>
              <w:t>(关联分析)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"问"依赖数据积累和算法,超出当前供货范围,可作为路线图项(见第四章)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告警分级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P0 紧急/P1 预警/P2 提示三级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现有报警仅"触发/未触发"二态,无正式分级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低成本可补齐</w:t>
            </w:r>
            <w:r>
              <w:rPr>
                <w:rFonts w:ascii="宋体" w:hAnsi="宋体" w:eastAsia="宋体"/>
                <w:sz w:val="19"/>
              </w:rPr>
              <w:t>:现有信号(急停=P0级、SOC低/失电=P1级、一般状态=P2级)已经具备做分级的数据基础,只需软件层重新归类,不需要新硬件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健康评分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0–100 分,熔断红线+短板扣分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可选的软件层增强,建议作为 V2 的"建议新增"项,而非默认包含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2.7 合规映射与交付方法论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智航平台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武汉东湖现方案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合规呈现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"规范依据→本平台措施→验证/认可方式"三列映射表,覆盖 7 个领域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协议仅罗列 3 条规范条文(CCS 电池动力规范/内河船舶检验规则/材料焊接规范)+ 环境 EMC 条款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覆盖领域本身合理(小型游艇不涉及 COLREG/SOLAS 等大船条款),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但呈现方式可升级为映射表</w:t>
            </w:r>
            <w:r>
              <w:rPr>
                <w:rFonts w:ascii="宋体" w:hAnsi="宋体" w:eastAsia="宋体"/>
                <w:sz w:val="19"/>
              </w:rPr>
              <w:t>,V1 技术方案第七章已是 checklist 雏形,V2 可直接升级为三列映射表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交付方法论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三步走(打通/闭环/增强)+ 三级试验(FAT/HAT/SAT),每级量化通过判据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V1 已有"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待定</w:t>
            </w:r>
            <w:r>
              <w:rPr>
                <w:rFonts w:ascii="宋体" w:hAnsi="宋体" w:eastAsia="宋体"/>
                <w:sz w:val="19"/>
              </w:rPr>
              <w:t>项与风险登记"+"交付物与验收表"(第八、九章),但未纳入 FAT/HAT/SAT 框架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V1 的验收条目可以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直接映射</w:t>
            </w:r>
            <w:r>
              <w:rPr>
                <w:rFonts w:ascii="宋体" w:hAnsi="宋体" w:eastAsia="宋体"/>
                <w:sz w:val="19"/>
              </w:rPr>
              <w:t>进 FAT/HAT/SAT 三级,是整理性工作,不增加实际工作量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数据追溯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全维度持久化(轨迹/指令日志/报警/设备状态/视频),30 天存储,多条件查询导出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协议仅提到显控屏"可满足储存 30 天以内数据",未定义存储哪些数据类型、是否支持查询导出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硬件存储能力已具备,软件功能(查询/导出/追溯)规格待明确,属于文档补充项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三、武汉东湖的真实优势(不因对标而妄自菲薄)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双驾控台冗余仲裁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主/副驾控台各配一套独立 VCU(712),经 CAN 互联做权限仲裁——智航 48 页材料全篇未涉及"多驾控台"场景,这是武汉东湖的独有架构亮点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控制/安全通道硬件级解耦已真实落地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智航的"通道分离"是设计原则表述,武汉东湖的急停/电源硬接线不经 VCU 是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真实存在的接线设计</w:t>
            </w:r>
            <w:r>
              <w:rPr>
                <w:rFonts w:ascii="宋体" w:hAnsi="宋体" w:eastAsia="宋体"/>
                <w:sz w:val="19"/>
              </w:rPr>
              <w:t>,已经在 Excel 接线清单里逐条落实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交付周期与门槛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单船定制、示范项目性质,交付周期短、采购门槛低,适合中小型游艇快速落地;智航是重型通用平台打法,评审与采购周期天然更长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待定项颗粒度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V1 技术方案第八章"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待定</w:t>
            </w:r>
            <w:r>
              <w:rPr>
                <w:rFonts w:ascii="宋体" w:hAnsi="宋体" w:eastAsia="宋体"/>
                <w:sz w:val="19"/>
              </w:rPr>
              <w:t>项与风险登记"已经具备与智航"可质询量化"同等的诚实颗粒度(11 条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待定</w:t>
            </w:r>
            <w:r>
              <w:rPr>
                <w:rFonts w:ascii="宋体" w:hAnsi="宋体" w:eastAsia="宋体"/>
                <w:sz w:val="19"/>
              </w:rPr>
              <w:t>项逐条标注闭环方式与是否影响关键路径)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四、能力路线图(如需扩展到支柱二,诚实说明代价)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以下能力</w:t>
      </w:r>
      <w:r>
        <w:rPr>
          <w:rFonts w:ascii="宋体" w:hAnsi="宋体" w:eastAsia="宋体"/>
          <w:b/>
          <w:i/>
          <w:color w:val="595959"/>
          <w:sz w:val="20"/>
        </w:rPr>
        <w:t>均不在武汉东湖当前供货范围内</w:t>
      </w:r>
      <w:r>
        <w:rPr>
          <w:rFonts w:ascii="宋体" w:hAnsi="宋体" w:eastAsia="宋体"/>
          <w:i/>
          <w:color w:val="595959"/>
          <w:sz w:val="20"/>
        </w:rPr>
        <w:t>,如客户后续希望向智航支柱二方向演进,需要独立立项、新增以下软硬件,不能通过软件升级现有系统获得。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目标能力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需新增硬件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需新增软件/算法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多源融合感知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激光雷达、毫米波雷达阵列(现仅 1 台)、AIS 接收机、补充可见光/红外摄像头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数据级/目标级/场景级三级融合算法、统一时空基准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 1 台毫米波雷达 + 1 台声呐 + 摄像头组无法支撑融合感知,需要传感器矩阵级别的扩容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自主航行决策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独立自主推理算力单元(现有采控单元算力不支持)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路径规划、动态避障、DCPA/TCPA 碰撞风险评分算法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属于全新功能模块,需要专门的安全论证与船级社认可路径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定点驻泊动力定位(DP)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无需额外推进器(吊舱本身可全向推力),但需要新增高精度定位与控制算法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DP 控制算法、风流扰动补偿模型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硬件基础具备(吊舱 0-330° 全向),主要缺算法与控制闭环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自主靠离泊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近距高精度雷达、全景视觉拼接算法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靠泊路径规划、姿态修正闭环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现有摄像头非拼接式,不满足"鸟瞰全景"要求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岸基远程接管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网络安全网关(OT/IT/船岸三域隔离)、双链路冗余(卫通+4G/5G 现仅有 4G)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受限接管协议、命令签名与租约机制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现有仅单一 4G 路由器上云,无网络安全分区,属于从零建设</w:t>
            </w:r>
          </w:p>
        </w:tc>
      </w:tr>
    </w:tbl>
    <w:p>
      <w:pPr>
        <w:spacing w:after="200"/>
      </w:pPr>
    </w:p>
    <w:p>
      <w:pPr>
        <w:spacing w:after="120" w:line="300" w:lineRule="auto"/>
        <w:jc w:val="both"/>
      </w:pPr>
      <w:r>
        <w:rPr>
          <w:rFonts w:ascii="宋体" w:hAnsi="宋体" w:eastAsia="宋体"/>
          <w:b/>
          <w:color w:val="1F3864"/>
          <w:sz w:val="21"/>
        </w:rPr>
        <w:t>建议对客户的表述</w:t>
      </w:r>
      <w:r>
        <w:rPr>
          <w:rFonts w:ascii="宋体" w:hAnsi="宋体" w:eastAsia="宋体"/>
          <w:sz w:val="21"/>
        </w:rPr>
        <w:t>:武汉东湖示范项目定位为"智能驾控台 + 基础智控"的快速落地标杆,验证双驾控台冗余、安全通道解耦等核心架构后,后续可作为向支柱二(自主航行)演进的</w:t>
      </w:r>
      <w:r>
        <w:rPr>
          <w:rFonts w:ascii="宋体" w:hAnsi="宋体" w:eastAsia="宋体"/>
          <w:b/>
          <w:color w:val="1F3864"/>
          <w:sz w:val="21"/>
        </w:rPr>
        <w:t>试验母船</w:t>
      </w:r>
      <w:r>
        <w:rPr>
          <w:rFonts w:ascii="宋体" w:hAnsi="宋体" w:eastAsia="宋体"/>
          <w:sz w:val="21"/>
        </w:rPr>
        <w:t>,但演进本身需要独立的立项、预算与船级社认证路径,不应包含在本期交付承诺中。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五、对武汉东湖技术方案的建议改动一览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以下改动已在《驾控台及智控系统-技术方案-V2-对标升级版.md》中落地,按是否需要新增硬件分类: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改动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是否需新增硬件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文档表述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补充"旁路/隔离/只读"正式声明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文档表述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正式命名"控制通道与安全通道物理分离"原则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设计规格补充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明确 CAN 通信中断、VCU 死机等失效场景的确定性应对动作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否(详设阶段必须明确的行为规格)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软件层增强(建议新增)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告警三级分层(P0/P1/P2)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否,复用现有信号重新归类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软件层增强(建议新增,可选)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轻量健康评分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否,复用现有信号,可选实施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文档升级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合规映射表(规范→措施→验证方式)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文档升级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验收体系纳入 FAT/HAT/SAT 三级框架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否,整理现有验收条目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网络安全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 上云通道建议补充基本网络安全网关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建议新增(小型网关设备,非大改)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措辞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澄清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"智控"能力边界说明,避免与自主决策混淆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8"/>
      </w:rPr>
      <w:t xml:space="preserve">武汉东湖智能游艇示范项目 · 智航对标-差异化分析　|　第 </w:t>
    </w:r>
    <w:r>
      <w:rPr>
        <w:rFonts w:ascii="Calibri" w:hAnsi="Calibri" w:eastAsia="Calibr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A0A0A0"/>
        <w:sz w:val="17"/>
      </w:rPr>
      <w:t>内部对标分析文档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