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完整项目任务清单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完整项目任务清单(随 V2 技术方案发布)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浦立泽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依据《驾控台及智控系统-技术方案-V2-对标升级版》梳理的</w:t>
            </w:r>
            <w:r>
              <w:rPr>
                <w:rFonts w:ascii="宋体" w:hAnsi="宋体" w:eastAsia="宋体"/>
                <w:b/>
                <w:color w:val="1F3864"/>
                <w:sz w:val="21"/>
              </w:rPr>
              <w:t>全生命周期任务清单</w:t>
            </w:r>
            <w:r>
              <w:rPr>
                <w:rFonts w:ascii="宋体" w:hAnsi="宋体" w:eastAsia="宋体"/>
                <w:sz w:val="21"/>
              </w:rPr>
              <w:t>(WBS),覆盖立项→技术</w:t>
            </w:r>
            <w:r>
              <w:rPr>
                <w:rFonts w:ascii="宋体" w:hAnsi="宋体" w:eastAsia="宋体"/>
                <w:b/>
                <w:color w:val="C5500B"/>
                <w:sz w:val="21"/>
              </w:rPr>
              <w:t>澄清</w:t>
            </w:r>
            <w:r>
              <w:rPr>
                <w:rFonts w:ascii="宋体" w:hAnsi="宋体" w:eastAsia="宋体"/>
                <w:sz w:val="21"/>
              </w:rPr>
              <w:t>→制造→FAT→安装→HAT→SAT→交付八个阶段 + 贯穿性项目管理任务;每条任务标注交付物、责任方、前置依赖与是否在关键路径上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任务来源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V2 第八章 12 条</w:t>
            </w:r>
            <w:r>
              <w:rPr>
                <w:rFonts w:ascii="宋体" w:hAnsi="宋体" w:eastAsia="宋体"/>
                <w:b/>
                <w:color w:val="C5500B"/>
                <w:sz w:val="21"/>
              </w:rPr>
              <w:t>待定</w:t>
            </w:r>
            <w:r>
              <w:rPr>
                <w:rFonts w:ascii="宋体" w:hAnsi="宋体" w:eastAsia="宋体"/>
                <w:sz w:val="21"/>
              </w:rPr>
              <w:t>项、第 4.4 节失效场景、第九章 FAT/HAT/SAT 验收框架、第十/十一章可选建议项、外装安装示意图、技术协议交付条款;每条任务在"来源"列标注出处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使用方式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按周例会逐条核销;"关键路径=是"的任务一旦延误直接拖累交船,优先保障;标注</w:t>
            </w:r>
            <w:r>
              <w:rPr>
                <w:rFonts w:ascii="宋体" w:hAnsi="宋体" w:eastAsia="宋体"/>
                <w:b/>
                <w:color w:val="9C6F00"/>
                <w:sz w:val="21"/>
              </w:rPr>
              <w:t>〔可选〕</w:t>
            </w:r>
            <w:r>
              <w:rPr>
                <w:rFonts w:ascii="宋体" w:hAnsi="宋体" w:eastAsia="宋体"/>
                <w:sz w:val="21"/>
              </w:rPr>
              <w:t>的任务需甲方先决策是否实施,不默认计入工期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V1.0(随 V2 技术方案发布)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颜色与标签图例</w:t>
      </w:r>
      <w:r>
        <w:rPr>
          <w:rFonts w:ascii="宋体" w:hAnsi="宋体" w:eastAsia="宋体"/>
          <w:i/>
          <w:color w:val="595959"/>
          <w:sz w:val="20"/>
        </w:rPr>
        <w:t>:</w:t>
      </w:r>
      <w:r>
        <w:rPr>
          <w:rFonts w:ascii="宋体" w:hAnsi="宋体" w:eastAsia="宋体"/>
          <w:b/>
          <w:i/>
          <w:color w:val="1F4E79"/>
          <w:sz w:val="20"/>
        </w:rPr>
        <w:t>【驾控台】</w:t>
      </w:r>
      <w:r>
        <w:rPr>
          <w:rFonts w:ascii="宋体" w:hAnsi="宋体" w:eastAsia="宋体"/>
          <w:i/>
          <w:color w:val="595959"/>
          <w:sz w:val="20"/>
        </w:rPr>
        <w:t>蓝色=台体及台上人机硬件+显控软件;</w:t>
      </w:r>
      <w:r>
        <w:rPr>
          <w:rFonts w:ascii="宋体" w:hAnsi="宋体" w:eastAsia="宋体"/>
          <w:b/>
          <w:i/>
          <w:color w:val="1E7B34"/>
          <w:sz w:val="20"/>
        </w:rPr>
        <w:t>【智控】</w:t>
      </w:r>
      <w:r>
        <w:rPr>
          <w:rFonts w:ascii="宋体" w:hAnsi="宋体" w:eastAsia="宋体"/>
          <w:i/>
          <w:color w:val="595959"/>
          <w:sz w:val="20"/>
        </w:rPr>
        <w:t>绿色=采控/传感/网络/执行接口;</w:t>
      </w:r>
      <w:r>
        <w:rPr>
          <w:rFonts w:ascii="宋体" w:hAnsi="宋体" w:eastAsia="宋体"/>
          <w:b/>
          <w:i/>
          <w:color w:val="6A2FBF"/>
          <w:sz w:val="20"/>
        </w:rPr>
        <w:t>【软件】</w:t>
      </w:r>
      <w:r>
        <w:rPr>
          <w:rFonts w:ascii="宋体" w:hAnsi="宋体" w:eastAsia="宋体"/>
          <w:i/>
          <w:color w:val="595959"/>
          <w:sz w:val="20"/>
        </w:rPr>
        <w:t>紫色=跨两者的控制与显示逻辑;</w:t>
      </w:r>
      <w:r>
        <w:rPr>
          <w:rFonts w:ascii="宋体" w:hAnsi="宋体" w:eastAsia="宋体"/>
          <w:b/>
          <w:i/>
          <w:color w:val="7F7F7F"/>
          <w:sz w:val="20"/>
        </w:rPr>
        <w:t>【通用】</w:t>
      </w:r>
      <w:r>
        <w:rPr>
          <w:rFonts w:ascii="宋体" w:hAnsi="宋体" w:eastAsia="宋体"/>
          <w:i/>
          <w:color w:val="595959"/>
          <w:sz w:val="20"/>
        </w:rPr>
        <w:t>灰色。表格中</w:t>
      </w:r>
      <w:r>
        <w:rPr>
          <w:rFonts w:ascii="宋体" w:hAnsi="宋体" w:eastAsia="宋体"/>
          <w:b/>
          <w:i/>
          <w:color w:val="595959"/>
          <w:sz w:val="20"/>
        </w:rPr>
        <w:t>浅橙色底纹行=含待澄清/待确认事项</w:t>
      </w:r>
      <w:r>
        <w:rPr>
          <w:rFonts w:ascii="宋体" w:hAnsi="宋体" w:eastAsia="宋体"/>
          <w:i/>
          <w:color w:val="595959"/>
          <w:sz w:val="20"/>
        </w:rPr>
        <w:t>,需闭环后方可冻结;</w:t>
      </w:r>
      <w:r>
        <w:rPr>
          <w:rFonts w:ascii="宋体" w:hAnsi="宋体" w:eastAsia="宋体"/>
          <w:b/>
          <w:i/>
          <w:color w:val="595959"/>
          <w:sz w:val="20"/>
        </w:rPr>
        <w:t>浅黄色底纹行=〔可选〕项</w:t>
      </w:r>
      <w:r>
        <w:rPr>
          <w:rFonts w:ascii="宋体" w:hAnsi="宋体" w:eastAsia="宋体"/>
          <w:i/>
          <w:color w:val="595959"/>
          <w:sz w:val="20"/>
        </w:rPr>
        <w:t>,需甲方决策是否实施。</w:t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一、阶段与关键路径总览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阶段依赖图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91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6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项目阶段依赖图(红框 = 关键路径阶段)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里程碑一览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定义(完成标准)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前置依赖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M0 合同生效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技术协议双方签字(注:现协议签字页尚为空白)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M1 详设冻结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 条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项中影响关键路径的 7 条全部闭环;正式接线图+认可图甲方会签;检试大纲会签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M0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 出厂就绪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台体+配盘+软件完成,FAT 六项全部通过,合格证/出厂报告齐套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M3 安装完成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船厂预铺线缆+外装设备+驾控台就位+机舱侧对接全部完成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M2(预铺可提前)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M4 系泊通过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HAT 五项(含失效注入)全部通过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M3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M5 航行通过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SAT 三项通过 + 吊舱映射标定完成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M4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M6 交付验收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稳定观察期达标,五方清点签字,培训与随机文件交付完成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M5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关键路径主链</w:t>
      </w:r>
      <w:r>
        <w:rPr>
          <w:rFonts w:ascii="宋体" w:hAnsi="宋体" w:eastAsia="宋体"/>
          <w:i/>
          <w:color w:val="595959"/>
          <w:sz w:val="20"/>
        </w:rPr>
        <w:t>:T1.14 正式接线图 → T2.3 电气配盘 → P3 FAT → T4.8 驾控台就位 → P5 HAT → P6 SAT → M6。其中 T1.1(副台面板</w:t>
      </w:r>
      <w:r>
        <w:rPr>
          <w:rFonts w:ascii="宋体" w:hAnsi="宋体" w:eastAsia="宋体"/>
          <w:b/>
          <w:i/>
          <w:color w:val="C5500B"/>
          <w:sz w:val="20"/>
        </w:rPr>
        <w:t>澄清</w:t>
      </w:r>
      <w:r>
        <w:rPr>
          <w:rFonts w:ascii="宋体" w:hAnsi="宋体" w:eastAsia="宋体"/>
          <w:i/>
          <w:color w:val="595959"/>
          <w:sz w:val="20"/>
        </w:rPr>
        <w:t>)、T1.4(上行总线)、T1.5(手柄供电)三条</w:t>
      </w:r>
      <w:r>
        <w:rPr>
          <w:rFonts w:ascii="宋体" w:hAnsi="宋体" w:eastAsia="宋体"/>
          <w:b/>
          <w:i/>
          <w:color w:val="C5500B"/>
          <w:sz w:val="20"/>
        </w:rPr>
        <w:t>澄清</w:t>
      </w:r>
      <w:r>
        <w:rPr>
          <w:rFonts w:ascii="宋体" w:hAnsi="宋体" w:eastAsia="宋体"/>
          <w:i/>
          <w:color w:val="595959"/>
          <w:sz w:val="20"/>
        </w:rPr>
        <w:t>任务</w:t>
      </w:r>
      <w:r>
        <w:rPr>
          <w:rFonts w:ascii="宋体" w:hAnsi="宋体" w:eastAsia="宋体"/>
          <w:b/>
          <w:i/>
          <w:color w:val="595959"/>
          <w:sz w:val="20"/>
        </w:rPr>
        <w:t>直接卡住 T1.14 出图</w:t>
      </w:r>
      <w:r>
        <w:rPr>
          <w:rFonts w:ascii="宋体" w:hAnsi="宋体" w:eastAsia="宋体"/>
          <w:i/>
          <w:color w:val="595959"/>
          <w:sz w:val="20"/>
        </w:rPr>
        <w:t>,是当前最优先事项。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二、P0 · 立项启动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技术协议签署(现签字页空白,日期未填)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双方签字盖章版协议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协议封面页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建立项目组与联络矩阵(设计/电气/软件/商务对口人)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联络人清单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项目管理惯例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 xml:space="preserve">编制基线计划(套用 </w:t>
            </w:r>
            <w:r>
              <w:rPr>
                <w:rFonts w:ascii="Consolas" w:hAnsi="Consolas" w:eastAsia="微软雅黑"/>
                <w:color w:val="8A2BE2"/>
                <w:sz w:val="18"/>
              </w:rPr>
              <w:t>curriculum/模板库/关键路径日历.md</w:t>
            </w:r>
            <w:r>
              <w:rPr>
                <w:rFonts w:ascii="宋体" w:hAnsi="宋体" w:eastAsia="宋体"/>
                <w:sz w:val="19"/>
              </w:rPr>
              <w:t>,填入实际日期)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带日期的里程碑日历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模板库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"智控"能力边界口径统一(对外话术:电子遥控+闭环跟随,非自主决策)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对外沟通口径备忘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浦立泽+销售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零章/风险#5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三、P1 · 技术澄清与详细设计(12 条待定项闭环)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本阶段任务多数来自 V2 第八章</w:t>
      </w:r>
      <w:r>
        <w:rPr>
          <w:rFonts w:ascii="宋体" w:hAnsi="宋体" w:eastAsia="宋体"/>
          <w:b/>
          <w:i/>
          <w:color w:val="C5500B"/>
          <w:sz w:val="20"/>
        </w:rPr>
        <w:t>待定</w:t>
      </w:r>
      <w:r>
        <w:rPr>
          <w:rFonts w:ascii="宋体" w:hAnsi="宋体" w:eastAsia="宋体"/>
          <w:i/>
          <w:color w:val="595959"/>
          <w:sz w:val="20"/>
        </w:rPr>
        <w:t>项登记,编号后括注对应</w:t>
      </w:r>
      <w:r>
        <w:rPr>
          <w:rFonts w:ascii="宋体" w:hAnsi="宋体" w:eastAsia="宋体"/>
          <w:b/>
          <w:i/>
          <w:color w:val="C5500B"/>
          <w:sz w:val="20"/>
        </w:rPr>
        <w:t>待定</w:t>
      </w:r>
      <w:r>
        <w:rPr>
          <w:rFonts w:ascii="宋体" w:hAnsi="宋体" w:eastAsia="宋体"/>
          <w:i/>
          <w:color w:val="595959"/>
          <w:sz w:val="20"/>
        </w:rPr>
        <w:t>项序号。</w:t>
      </w:r>
      <w:r>
        <w:rPr>
          <w:rFonts w:ascii="宋体" w:hAnsi="宋体" w:eastAsia="宋体"/>
          <w:b/>
          <w:i/>
          <w:color w:val="595959"/>
          <w:sz w:val="20"/>
        </w:rPr>
        <w:t>T1.1/T1.4/T1.5 卡住正式接线图出图,优先闭环。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澄清</w:t>
            </w:r>
            <w:r>
              <w:rPr>
                <w:rFonts w:ascii="宋体" w:hAnsi="宋体" w:eastAsia="宋体"/>
                <w:sz w:val="19"/>
              </w:rPr>
              <w:t>副驾控台"控制面板"范围(设备清单与"不带按键面板"注释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矛盾</w:t>
            </w:r>
            <w:r>
              <w:rPr>
                <w:rFonts w:ascii="宋体" w:hAnsi="宋体" w:eastAsia="宋体"/>
                <w:sz w:val="19"/>
              </w:rPr>
              <w:t>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书面确认的副台面板元器件清单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浦立泽+设计院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确认智控→手动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(是否需转速归零)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写入详设的切换条件规格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确认控制接线板/动力转向系统"3 套"的数量构成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供货清单明细确认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明确 ICC/IGS 采集单元上行总线介质(CAN / 以太网 / Modbus TCP 逐台标注)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上行总线分配表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确认推进手柄、电子方向机是否独立供电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供电方案确认单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项#5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确认惯导馈线(标准10m)/雷达通信线(标准4m)实际长度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线缆长度清单(超长部分另行备货)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船厂测量+浦立泽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项#6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动态声呐安装位置现场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踏勘</w:t>
            </w:r>
            <w:r>
              <w:rPr>
                <w:rFonts w:ascii="宋体" w:hAnsi="宋体" w:eastAsia="宋体"/>
                <w:sz w:val="19"/>
              </w:rPr>
              <w:t xml:space="preserve"> + 安装支架方案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踏勘</w:t>
            </w:r>
            <w:r>
              <w:rPr>
                <w:rFonts w:ascii="宋体" w:hAnsi="宋体" w:eastAsia="宋体"/>
                <w:sz w:val="19"/>
              </w:rPr>
              <w:t>纪要+支架图纸(支架需提前制作)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项#7;安装图P8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确认总用泵启停/运行状态、舵角传感器是否配置(若无删减端子)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端子取舍确认单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项#9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T1.9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sz w:val="19"/>
              </w:rPr>
              <w:t>显控屏端口级信号分配(惯导落左/右屏哪路 CAN/串口等)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端口分配表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项#10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编制出厂检试大纲:按 V2 第九章 FAT/HAT/SAT 框架细化并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与甲方会签</w:t>
            </w:r>
            <w:r>
              <w:rPr>
                <w:rFonts w:ascii="宋体" w:hAnsi="宋体" w:eastAsia="宋体"/>
                <w:sz w:val="19"/>
              </w:rPr>
              <w:t>(解决协议仅 2 项验收、"△"含义不明问题)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会签版检试大纲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项#11;V2 九章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网络安全网关实施决策(4G 上云通道现状无鉴权)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甲方书面决策(本期实施/暂缓)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项#12;V2 十一章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sz w:val="19"/>
              </w:rPr>
              <w:t>失效场景行为规格评审:V2 §4.4 六条(CAN中断/VCU死机/惯导失锁/4G断网/智控丢包/仲裁异常)写入详设并定超时阈值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失效行为规格书(评审通过)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§4.4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告警三级分层(P0/P1/P2)清单评审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告警分级映射表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T0.1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§10.1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正式接线图 + 台体认可图</w:t>
            </w:r>
            <w:r>
              <w:rPr>
                <w:rFonts w:ascii="宋体" w:hAnsi="宋体" w:eastAsia="宋体"/>
                <w:sz w:val="19"/>
              </w:rPr>
              <w:t>(造型/颜色/尺寸/排布),提交甲方会签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会签版图纸(M1 冻结)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T1.1,T1.4,T1.5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协议§3.1;V1 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轻量健康评分是否实施决策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甲方书面决策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§10.2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四、P2 · 采购、制造与软件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长周期物料下单(显控屏×4、惯导、声呐、毫米波雷达、NVR+摄像头、交换机、采控单元等,按第六章 BOM)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采购订单+到货计划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六章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驾控台台体制造(碳纤维、白+金、IP44、约1000×1200×500mm,以认可图为准)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主/副台体完工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协议§2.1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主驾控台电气配盘与内部接线(按框图 V1.1 + Excel 接线清单逐条)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配盘完工+自检记录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T2.1,T2.2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框图P1;Excel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 xml:space="preserve">副驾控台配盘(按 T1.1 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澄清</w:t>
            </w:r>
            <w:r>
              <w:rPr>
                <w:rFonts w:ascii="宋体" w:hAnsi="宋体" w:eastAsia="宋体"/>
                <w:sz w:val="19"/>
              </w:rPr>
              <w:t>后的面板清单;VCU-副+DC/DC+急停+双屏)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副台配盘完工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T1.1,T2.1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sz w:val="19"/>
              </w:rPr>
              <w:t>显控软件开发/配置:双屏页面、报警上屏、权限切换 UI;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告警分级、健康评分(依 T1.13/T1.15 决策)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软件版本+功能清单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T1.9,T1.12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五/十章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sz w:val="19"/>
              </w:rPr>
              <w:t>VCU 逻辑实现与台架联试:主副权限仲裁(手柄回空挡互锁)、INT/EXT 模式切换、§4.4 失效行为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台架联试记录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T1.12,T2.3,T2.4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§4.1-4.4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b/>
                <w:color w:val="9C6F00"/>
                <w:sz w:val="19"/>
              </w:rPr>
              <w:t>〔可选〕</w:t>
            </w:r>
            <w:r>
              <w:rPr>
                <w:rFonts w:ascii="宋体" w:hAnsi="宋体" w:eastAsia="宋体"/>
                <w:sz w:val="19"/>
              </w:rPr>
              <w:t>网络安全网关采购与配置(依 T1.11 决策)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网关设备+白名单配置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FF2CC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十一章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随机文件编制:中文手册、原理图(塑封/铜板,随控制箱)、接线图(端子编号)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随机文件初稿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T1.14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协议§1.6.7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五、P3 · FAT 工厂验收(对应检试大纲 9.1)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外观检查(台体无损伤、IP44、颜色铭牌符合认可图)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检验记录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浦立泽(甲方可到场)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T2.3,T2.4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协议§4.1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电气性能检查(绝缘/耐压/接地,符合 CCS)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协议§4.1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双路供电切换测试(AC220/DC24 任一失电无缝切换+报警上屏)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T2.3,T2.5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9.1#3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急停多点串联台架测试(主/副/扩展任一触发→双推进停,不经 VCU 生效)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T2.3,T2.4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9.1#4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CAN 总线稳定性测试(振动/温度下三路 CAN 无丢包误码)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T2.6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9.1#5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邀请甲方出厂试验见证;合格证+出厂试验报告齐套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甲方见证签字(如到场)+文件包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T3.1–T3.5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协议§4.2/§3.4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包装发运(GB/T 13384,防潮防震,标注吊点,电缆口密封)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发货单+包装照片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协议§3.3/§5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六、P4 · 船厂预铺与船上安装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T4.1 线缆预铺不依赖 FAT,确认线缆规格(T1.6)后即可先行开工</w:t>
      </w:r>
      <w:r>
        <w:rPr>
          <w:rFonts w:ascii="宋体" w:hAnsi="宋体" w:eastAsia="宋体"/>
          <w:i/>
          <w:color w:val="595959"/>
          <w:sz w:val="20"/>
        </w:rPr>
        <w:t>——这是把船厂工序从关键路径上解耦的关键动作。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船厂线缆预铺:摄像头 6 类网线×5、CAN 定制线(推进+直流板)、电池网线、音频线(双股金银 0.95²)、急停开关线(4 根,自制)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预铺完成+通断测试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 浦立泽接线;安装图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惯导天线×2 安装(船顶开阔区、间距 1.5m、开孔 ∅147.5mm、嵌入需 100mm 深度、打胶固定)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安装完成+馈线接入驾控台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船厂+浦立泽指导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毫米波雷达安装(船头、正面无遮挡、嵌入式;亚克力装饰需与发射面贴合)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船厂+浦立泽指导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语音喇叭安装(开孔 ∅130mm;扩展喇叭最多 2 个,位置确认)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安装图P4;框图注7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摄像头×5 + NVR + 边缘计算盒安装(POE 供电,支架浦立泽提供)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安装完成+图像可见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安装图P5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后甲板急停开关安装(∅22mm 开孔,两对常闭,与驾控台急停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接线)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安装完成+回路导通记录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安装图P6;V2 5.11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动态声呐安装(按 T1.7 支架方案;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通电前必须完全浸水</w:t>
            </w:r>
            <w:r>
              <w:rPr>
                <w:rFonts w:ascii="宋体" w:hAnsi="宋体" w:eastAsia="宋体"/>
                <w:sz w:val="19"/>
              </w:rPr>
              <w:t>,写入施工交底)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安装完成+施工交底签字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T1.7,T3.7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安装图P8;协议§2.2.6 注意事项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4E79"/>
                <w:sz w:val="19"/>
              </w:rPr>
              <w:t>【驾控台】</w:t>
            </w:r>
            <w:r>
              <w:rPr>
                <w:rFonts w:ascii="宋体" w:hAnsi="宋体" w:eastAsia="宋体"/>
                <w:sz w:val="19"/>
              </w:rPr>
              <w:t>主/副驾控台吊装就位、底部螺栓固定、底部进线、机舱侧对接(推进控制箱/直流板/电池箱/风机)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就位+全部端子对接完成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船厂+浦立泽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T3.7,T4.1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协议§2.1;Excel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七、P5 · HAT 码头/系泊试验(对应检试大纲 9.2)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报警与数采链路逐点测试(液位/舱底水/SOC/失电等逐点触发,时延达标上屏)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逐点测试表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9.2#7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视频/声呐/雷达功能测试(5 路视频可回放、声呐成像、雷达 40m 预警)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T4.5,T4.7,T4.3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4G/5G 船岸通信测试(数据上云、岸端可实时获取;若实施网关则含白名单验证)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T4.8,T2.7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9.2#9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sz w:val="19"/>
              </w:rPr>
              <w:t>双驾控台权限切换测试(回空挡可切换、未回空挡拒绝)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T4.8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9.2#10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6A2FBF"/>
                <w:sz w:val="19"/>
              </w:rPr>
              <w:t>【软件】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失效场景注入测试</w:t>
            </w:r>
            <w:r>
              <w:rPr>
                <w:rFonts w:ascii="宋体" w:hAnsi="宋体" w:eastAsia="宋体"/>
                <w:sz w:val="19"/>
              </w:rPr>
              <w:t>(按 §4.4 逐条:拔 CAN、断 VCU 电、遮惯导、断 4G,验证确定性应对)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故障注入测试报告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T5.1,T1.12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9.2#11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八、P6 · SAT 航行试验 + 稳定观察(对应检试大纲 9.3/9.4)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吊舱 0-330° 回转角与方向盘圈数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映射标定</w:t>
            </w:r>
            <w:r>
              <w:rPr>
                <w:rFonts w:ascii="宋体" w:hAnsi="宋体" w:eastAsia="宋体"/>
                <w:sz w:val="19"/>
              </w:rPr>
              <w:t>(实测写入闭环参数)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标定参数记录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P5 全部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项#8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E7B34"/>
                <w:sz w:val="19"/>
              </w:rPr>
              <w:t>【智控】</w:t>
            </w:r>
            <w:r>
              <w:rPr>
                <w:rFonts w:ascii="宋体" w:hAnsi="宋体" w:eastAsia="宋体"/>
                <w:sz w:val="19"/>
              </w:rPr>
              <w:t>智控/手动切换航行实测(切入条件:转速归零+吊舱归位;退出条件按 T1.2 验证)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浦立泽+甲方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T6.1,T1.2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9.3#12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应急舵接管测试(模拟转舵失效,人员随时接管)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测试记录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浦立泽+船厂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9.3#13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稳定观察期:基础链路稳定运行 ≥30 天,关键报警链路可用度 ≥99%(具体口径按 T1.10 大纲)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运行日志+可用度统计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9.4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九、P7 · 交付、培训与收尾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交付物/完成标准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前置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关键路径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随机文件定稿交付(中文手册、功能原理图含端子编号、接线图、系统手册)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文件包签收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协议§1.6.7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免费技术指导与操作培训(甲方/船东/船厂),按需参加系泊/航行试验报验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培训签到+纪要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协议§8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as-built 图纸回灌(把联调实测的端口分配/标定参数更新进正式图,替换方案中的示意图)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as-built 版图纸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T6.4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十三章#4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货物/系统五方清点验收签字(甲方、船东、船厂、设计院、设备商)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验收签字单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五方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协议§6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7F7F7F"/>
                <w:sz w:val="19"/>
              </w:rPr>
              <w:t>【通用】</w:t>
            </w:r>
            <w:r>
              <w:rPr>
                <w:rFonts w:ascii="宋体" w:hAnsi="宋体" w:eastAsia="宋体"/>
                <w:sz w:val="19"/>
              </w:rPr>
              <w:t>项目复盘(可召唤 🏋️ Sales Coach 按复盘流程执行,沉淀进案例库)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复盘纪要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T7.4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仓库流程篇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十、PM · 贯穿性项目管理任务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节奏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C5500B"/>
                <w:sz w:val="19"/>
              </w:rPr>
              <w:t>待定</w:t>
            </w:r>
            <w:r>
              <w:rPr>
                <w:rFonts w:ascii="宋体" w:hAnsi="宋体" w:eastAsia="宋体"/>
                <w:sz w:val="19"/>
              </w:rPr>
              <w:t>项跟踪:V2 第八章 12 条逐条指派负责人+闭环时间,周会核销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每周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八章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风险登记维护:V2 表 B 的 5 条风险动态更新,新风险随时入表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每周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八章表B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变更管理:设计/工艺更改书面告知甲方并取得认可,工作图变更附书面说明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事件驱动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协议§3.1(b)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可选项决策跟踪:T1.11(网关)、T1.13(告警分级)、T1.15(健康评分)三项甲方决策的截止提醒——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逾期未决策默认按"本期不实施"处理并书面留痕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里程碑 M1 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十/十一章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TM.5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关键路径周报:主链(接线图→配盘→FAT→安装→HAT→SAT)各环节偏差与追赶措施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每周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浦立泽 PM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本清单 §1.2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十一、任务统计与使用说明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任务数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其中关键路径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其中可选(待甲方决策)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P0 立项启动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P1 技术</w:t>
            </w:r>
            <w:r>
              <w:rPr>
                <w:rFonts w:ascii="宋体" w:hAnsi="宋体" w:eastAsia="宋体"/>
                <w:b/>
                <w:color w:val="C5500B"/>
                <w:sz w:val="19"/>
              </w:rPr>
              <w:t>澄清</w:t>
            </w:r>
            <w:r>
              <w:rPr>
                <w:rFonts w:ascii="宋体" w:hAnsi="宋体" w:eastAsia="宋体"/>
                <w:sz w:val="19"/>
              </w:rPr>
              <w:t>与详设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DE9D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3(网关/告警分级/健康评分)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P2 采购制造软件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1(网关配置)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P3 FAT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P4 预铺与安装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P5 HAT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P6 SAT+观察期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P7 交付收尾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PM 贯穿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合计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61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39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4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三条使用提醒</w:t>
      </w:r>
      <w:r>
        <w:rPr>
          <w:rFonts w:ascii="宋体" w:hAnsi="宋体" w:eastAsia="宋体"/>
          <w:sz w:val="21"/>
        </w:rPr>
        <w:t>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当前最优先</w:t>
      </w:r>
      <w:r>
        <w:rPr>
          <w:rFonts w:ascii="宋体" w:hAnsi="宋体" w:eastAsia="宋体"/>
          <w:sz w:val="21"/>
        </w:rPr>
        <w:t>:T1.1(副台面板)、T1.4(上行总线)、T1.5(手柄供电)三条</w:t>
      </w:r>
      <w:r>
        <w:rPr>
          <w:rFonts w:ascii="宋体" w:hAnsi="宋体" w:eastAsia="宋体"/>
          <w:b/>
          <w:color w:val="C5500B"/>
          <w:sz w:val="21"/>
        </w:rPr>
        <w:t>澄清</w:t>
      </w:r>
      <w:r>
        <w:rPr>
          <w:rFonts w:ascii="宋体" w:hAnsi="宋体" w:eastAsia="宋体"/>
          <w:sz w:val="21"/>
        </w:rPr>
        <w:t>任务卡住正式接线图(T1.14),接线图又是整条关键路径的起点——本周就该发出</w:t>
      </w:r>
      <w:r>
        <w:rPr>
          <w:rFonts w:ascii="宋体" w:hAnsi="宋体" w:eastAsia="宋体"/>
          <w:b/>
          <w:color w:val="C5500B"/>
          <w:sz w:val="21"/>
        </w:rPr>
        <w:t>澄清</w:t>
      </w:r>
      <w:r>
        <w:rPr>
          <w:rFonts w:ascii="宋体" w:hAnsi="宋体" w:eastAsia="宋体"/>
          <w:sz w:val="21"/>
        </w:rPr>
        <w:t>函。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可并行提效</w:t>
      </w:r>
      <w:r>
        <w:rPr>
          <w:rFonts w:ascii="宋体" w:hAnsi="宋体" w:eastAsia="宋体"/>
          <w:sz w:val="21"/>
        </w:rPr>
        <w:t>:船厂线缆预铺(T4.1)只依赖线缆规格确认(T1.6),不必等 FAT;尽早启动可把船厂工序移出关键路径。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可选项止损</w:t>
      </w:r>
      <w:r>
        <w:rPr>
          <w:rFonts w:ascii="宋体" w:hAnsi="宋体" w:eastAsia="宋体"/>
          <w:sz w:val="21"/>
        </w:rPr>
        <w:t>:三个</w:t>
      </w:r>
      <w:r>
        <w:rPr>
          <w:rFonts w:ascii="宋体" w:hAnsi="宋体" w:eastAsia="宋体"/>
          <w:b/>
          <w:color w:val="9C6F00"/>
          <w:sz w:val="21"/>
        </w:rPr>
        <w:t>〔可选〕</w:t>
      </w:r>
      <w:r>
        <w:rPr>
          <w:rFonts w:ascii="宋体" w:hAnsi="宋体" w:eastAsia="宋体"/>
          <w:sz w:val="21"/>
        </w:rPr>
        <w:t>决策(网关/告警分级/健康评分)设定决策截止日=M1 详设冻结;逾期默认不实施并书面留痕,避免后期插入返工。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项目任务清单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项目管理文档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