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52"/>
        </w:rPr>
        <w:t>武汉东湖智能游艇示范项目 · 驾控台及智控系统技术方案(V2 · 对标升级版)</w:t>
      </w:r>
    </w:p>
    <w:p>
      <w:pPr>
        <w:spacing w:before="120" w:after="560"/>
        <w:jc w:val="center"/>
      </w:pPr>
      <w:r>
        <w:rPr>
          <w:rFonts w:ascii="微软雅黑" w:hAnsi="微软雅黑" w:eastAsia="微软雅黑"/>
          <w:color w:val="2E5B8A"/>
          <w:sz w:val="28"/>
        </w:rPr>
        <w:t>驾控台及智控系统 · 对标升级版技术方案</w:t>
      </w:r>
    </w:p>
    <w:p>
      <w:pPr>
        <w:pBdr>
          <w:bottom w:val="single" w:sz="24" w:space="4" w:color="1F3864"/>
        </w:pBdr>
        <w:spacing w:after="480"/>
      </w:pP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4706"/>
        <w:gridCol w:w="4706"/>
      </w:tblGrid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项目名称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阳新县仙岛湖 · 武汉东湖智能游艇示范项目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系统范围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驾控台(主/副)及智控系统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甲方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武船设计院 / 中南彭力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乙方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浦立泽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船型配置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1 条船 · 2×40kW 吊舱推进 · 357kWh 电池(2 仓) · 双驾控台(驾驶室+飞桥)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依据材料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①驾控台及智控系统技术协议 V1.0 ②驾控台相关电气配盘和设备接线说明 V1.1 ③浦立泽外装设备安装示意图 ④驾控台相关接线定义清单(Excel) ⑤《智航·船端智能一体化平台核心产品技术方案》V1.0(对标参照,不属于本项目供货依据)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与 V1 的关系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V1(</w:t>
            </w:r>
            <w:r>
              <w:rPr>
                <w:rFonts w:ascii="Consolas" w:hAnsi="Consolas" w:eastAsia="微软雅黑"/>
                <w:color w:val="8A2BE2"/>
                <w:sz w:val="20"/>
              </w:rPr>
              <w:t>驾控台及智控系统-技术方案.md</w:t>
            </w:r>
            <w:r>
              <w:rPr>
                <w:rFonts w:ascii="宋体" w:hAnsi="宋体" w:eastAsia="宋体"/>
                <w:sz w:val="21"/>
              </w:rPr>
              <w:t>)是原始详设文档,内容完整保留、未删改;</w:t>
            </w:r>
            <w:r>
              <w:rPr>
                <w:rFonts w:ascii="宋体" w:hAnsi="宋体" w:eastAsia="宋体"/>
                <w:b/>
                <w:color w:val="1F3864"/>
                <w:sz w:val="21"/>
              </w:rPr>
              <w:t>V2 在 V1 基础上新增 4 章、升级 2 章</w:t>
            </w:r>
            <w:r>
              <w:rPr>
                <w:rFonts w:ascii="宋体" w:hAnsi="宋体" w:eastAsia="宋体"/>
                <w:sz w:val="21"/>
              </w:rPr>
              <w:t>,所有新增内容均标注"是否需要新增硬件",详细对标依据见同目录《智航对标-差异化分析.md》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文档定位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内部技术架构与实施方案(工程/详设向)。第零章为新增的能力对标定位说明</w:t>
            </w:r>
          </w:p>
        </w:tc>
      </w:tr>
      <w:tr>
        <w:tc>
          <w:tcPr>
            <w:tcW w:type="dxa" w:w="2041"/>
            <w:shd w:val="clear" w:color="auto" w:fill="DDE6F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版本</w:t>
            </w:r>
          </w:p>
        </w:tc>
        <w:tc>
          <w:tcPr>
            <w:tcW w:type="dxa" w:w="708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宋体" w:hAnsi="宋体" w:eastAsia="宋体"/>
                <w:sz w:val="21"/>
              </w:rPr>
              <w:t>V2.0</w:t>
            </w:r>
          </w:p>
        </w:tc>
      </w:tr>
    </w:tbl>
    <w:p>
      <w:r>
        <w:br w:type="page"/>
      </w:r>
    </w:p>
    <w:p>
      <w:pPr>
        <w:spacing w:after="360"/>
        <w:jc w:val="center"/>
      </w:pPr>
      <w:r>
        <w:rPr>
          <w:rFonts w:ascii="微软雅黑" w:hAnsi="微软雅黑" w:eastAsia="微软雅黑"/>
          <w:b/>
          <w:color w:val="1F3864"/>
          <w:sz w:val="36"/>
        </w:rPr>
        <w:t>目　　录</w:t>
      </w:r>
    </w:p>
    <w:p>
      <w:r>
        <w:fldChar w:fldCharType="begin"/>
        <w:instrText xml:space="preserve">TOC \o "1-2" \h \z \u</w:instrText>
        <w:fldChar w:fldCharType="separate"/>
        <w:t>请在 Word 中右键点击此处 → 更新域，以生成目录 / Right-click → Update Field</w:t>
        <w:fldChar w:fldCharType="end"/>
      </w:r>
    </w:p>
    <w:p>
      <w:r>
        <w:br w:type="page"/>
      </w: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零、能力对标定位(新增)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本章为 V2 新增,目的是</w:t>
      </w:r>
      <w:r>
        <w:rPr>
          <w:rFonts w:ascii="宋体" w:hAnsi="宋体" w:eastAsia="宋体"/>
          <w:b/>
          <w:i/>
          <w:color w:val="595959"/>
          <w:sz w:val="20"/>
        </w:rPr>
        <w:t>诚实定位</w:t>
      </w:r>
      <w:r>
        <w:rPr>
          <w:rFonts w:ascii="宋体" w:hAnsi="宋体" w:eastAsia="宋体"/>
          <w:i/>
          <w:color w:val="595959"/>
          <w:sz w:val="20"/>
        </w:rPr>
        <w:t>本项目在行业标杆坐标系中的位置,避免"智控系统"这一命名引发能力误判。详细逐维度对比见《智航对标-差异化分析.md》,此处只给结论。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>对标《智航·船端智能一体化平台》的两大能力支柱划分: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支柱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智航定义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本项目状态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支柱一 · 船舶智能人机交互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AI-IoT 数据底座 + 智慧驾控台,"设备到数据、数据到人机"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本项目对应此支柱的一个小型单船落地案例</w:t>
            </w:r>
            <w:r>
              <w:rPr>
                <w:rFonts w:ascii="宋体" w:hAnsi="宋体" w:eastAsia="宋体"/>
                <w:sz w:val="19"/>
              </w:rPr>
              <w:t>,技术路线方向一致,规模与文档正式程度存在差距(详见第七、九、十、十一章升级)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支柱二 · 船舶智能驾驶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多源融合感知 + 自主决策控制,"数据到自主、船岸协同"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本项目不具备,也不宣称具备</w:t>
            </w:r>
            <w:r>
              <w:rPr>
                <w:rFonts w:ascii="宋体" w:hAnsi="宋体" w:eastAsia="宋体"/>
                <w:sz w:val="19"/>
              </w:rPr>
              <w:t>。现有"智控"准确定义为"电子遥控 + 闭环跟随",不涉及路径规划、避障或风险评分;如需演进,属于全新立项,见第十二章"能力路线图"</w:t>
            </w:r>
          </w:p>
        </w:tc>
      </w:tr>
    </w:tbl>
    <w:p>
      <w:pPr>
        <w:spacing w:after="200"/>
      </w:pPr>
    </w:p>
    <w:p>
      <w:pPr>
        <w:spacing w:after="120" w:line="300" w:lineRule="auto"/>
        <w:jc w:val="both"/>
      </w:pPr>
      <w:r>
        <w:rPr>
          <w:rFonts w:ascii="宋体" w:hAnsi="宋体" w:eastAsia="宋体"/>
          <w:b/>
          <w:color w:val="1F3864"/>
          <w:sz w:val="21"/>
        </w:rPr>
        <w:t>本项目的独有优势</w:t>
      </w:r>
      <w:r>
        <w:rPr>
          <w:rFonts w:ascii="宋体" w:hAnsi="宋体" w:eastAsia="宋体"/>
          <w:sz w:val="21"/>
        </w:rPr>
        <w:t>:双驾控台(主/副)对等冗余 + 双 VCU 权限仲裁架构,是智航 48 页材料未涉及的场景(单驾控台设计),详见第二章。</w:t>
      </w: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一、项目概述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1.1 一句话定位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一套</w:t>
      </w:r>
      <w:r>
        <w:rPr>
          <w:rFonts w:ascii="宋体" w:hAnsi="宋体" w:eastAsia="宋体"/>
          <w:b/>
          <w:i/>
          <w:color w:val="595959"/>
          <w:sz w:val="20"/>
        </w:rPr>
        <w:t>双驾控台(主/副对等冗余) + 双 VCU 权限仲裁 + 8 类采控单元 + 四总线骨架</w:t>
      </w:r>
      <w:r>
        <w:rPr>
          <w:rFonts w:ascii="宋体" w:hAnsi="宋体" w:eastAsia="宋体"/>
          <w:i/>
          <w:color w:val="595959"/>
          <w:sz w:val="20"/>
        </w:rPr>
        <w:t>的智能游艇驾驶舱,把推进/电池/导航/视频/报警/应急六大船载子系统汇聚到双屏,支持</w:t>
      </w:r>
      <w:r>
        <w:rPr>
          <w:rFonts w:ascii="宋体" w:hAnsi="宋体" w:eastAsia="宋体"/>
          <w:b/>
          <w:i/>
          <w:color w:val="595959"/>
          <w:sz w:val="20"/>
        </w:rPr>
        <w:t>手动/智控双模、主/副台双站、电子/物理双通道、供电/急停双冗余</w:t>
      </w:r>
      <w:r>
        <w:rPr>
          <w:rFonts w:ascii="宋体" w:hAnsi="宋体" w:eastAsia="宋体"/>
          <w:i/>
          <w:color w:val="595959"/>
          <w:sz w:val="20"/>
        </w:rPr>
        <w:t>。定位为船舶智能人机交互能力的单船示范落地(对应行业平台方案的"支柱一"),不含自主航行决策能力。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1.2 船型与配置速记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4706"/>
        <w:gridCol w:w="4706"/>
      </w:tblGrid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参数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推进型式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2 × 吊舱推进器,单台 40kW,回转角 0–330°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357kWh,2 个电池仓(左/右)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日用电源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DC24V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驾控台数量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2 个:主驾控台(驾驶室,室内) + 副驾控台(飞桥,室外)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手柄型式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712 手柄:CAN + 模拟量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推进急停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硬接线,不经 VCU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电池/推进通信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报警与数采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淡水箱×1(模拟量)、黑水箱×2(模拟量)、舱底水高位×6(开关量)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报警设备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消防设备报警板、可燃气体报警板、通用报警板(均有)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1.3 供货范围总览(协议§1.2)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组成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数量/说明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驾控台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台架 + 控制接线板 + 电气设备及安装附件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控制接线板 3 套(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含义待确认</w:t>
            </w:r>
            <w:r>
              <w:rPr>
                <w:rFonts w:ascii="宋体" w:hAnsi="宋体" w:eastAsia="宋体"/>
                <w:sz w:val="19"/>
              </w:rPr>
              <w:t>,见第八章)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智控系统·动力与转向控制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推进电机控制/状态、转舵控制/角度获取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3 套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智控系统·电池监测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电池域/簇/包参数采集、监控诊断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智控系统·报警和数据采集与通信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淡黑水液位、舱底水高位、报警器通信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智控系统·综合显示与报警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指点航行、轨迹航行、紧急避停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智控系统·导航集成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雷达、惯导、时间/经纬度/航速/航向/横纵摇、深度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智控系统·声呐系统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动态声呐探头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智控系统·毫米波雷达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低速避障雷达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智控系统·视频监控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前后左右广角+电池仓摄像头+NVR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 摄像头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智控系统·音频系统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音频功放 + 语音喇叭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3 只(可扩展)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智控系统·4G/5G 云端通信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船岸数据交互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 路由器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智控系统·急停开关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两常闭+带保护盖,多点串联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二、总体架构:主/副驾控台双中枢拓扑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2.1 架构设计要点(核心发现)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>细读框图第 2 页"副驾控台相关电气配盘"后确认三个关键架构特征,这是理解整套系统的前提: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/>
          <w:color w:val="1F3864"/>
          <w:sz w:val="21"/>
        </w:rPr>
        <w:t>双 VCU,而非单中枢</w:t>
      </w:r>
      <w:r>
        <w:rPr>
          <w:rFonts w:ascii="宋体" w:hAnsi="宋体" w:eastAsia="宋体"/>
          <w:sz w:val="21"/>
        </w:rPr>
        <w:t>:主驾控台内有 VCU-主(712),副驾控台(飞桥)</w:t>
      </w:r>
      <w:r>
        <w:rPr>
          <w:rFonts w:ascii="宋体" w:hAnsi="宋体" w:eastAsia="宋体"/>
          <w:b/>
          <w:color w:val="1F3864"/>
          <w:sz w:val="21"/>
        </w:rPr>
        <w:t>同样配置一套独立的 VCU-副(712) + DC/DC 转换模块(24→12) + 8 位 DC12V 保险汇流排 + 一键急停旋钮</w:t>
      </w:r>
      <w:r>
        <w:rPr>
          <w:rFonts w:ascii="宋体" w:hAnsi="宋体" w:eastAsia="宋体"/>
          <w:sz w:val="21"/>
        </w:rPr>
        <w:t>。两台 VCU 通过 CAN 互联做权限仲裁,而不是所有信号都汇总到唯一中枢。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/>
          <w:color w:val="1F3864"/>
          <w:sz w:val="21"/>
        </w:rPr>
        <w:t>副驾控台是"级联简配"而非"独立全配"</w:t>
      </w:r>
      <w:r>
        <w:rPr>
          <w:rFonts w:ascii="宋体" w:hAnsi="宋体" w:eastAsia="宋体"/>
          <w:sz w:val="21"/>
        </w:rPr>
        <w:t>:副驾控台</w:t>
      </w:r>
      <w:r>
        <w:rPr>
          <w:rFonts w:ascii="宋体" w:hAnsi="宋体" w:eastAsia="宋体"/>
          <w:b/>
          <w:color w:val="1F3864"/>
          <w:sz w:val="21"/>
        </w:rPr>
        <w:t>没有</w:t>
      </w:r>
      <w:r>
        <w:rPr>
          <w:rFonts w:ascii="宋体" w:hAnsi="宋体" w:eastAsia="宋体"/>
          <w:sz w:val="21"/>
        </w:rPr>
        <w:t>协议转换盒、交换机、按键/电源采集单元等采控单元,其双屏数据来自主驾控台</w:t>
      </w:r>
      <w:r>
        <w:rPr>
          <w:rFonts w:ascii="宋体" w:hAnsi="宋体" w:eastAsia="宋体"/>
          <w:b/>
          <w:color w:val="1F3864"/>
          <w:sz w:val="21"/>
        </w:rPr>
        <w:t>级联</w:t>
      </w:r>
      <w:r>
        <w:rPr>
          <w:rFonts w:ascii="宋体" w:hAnsi="宋体" w:eastAsia="宋体"/>
          <w:sz w:val="21"/>
        </w:rPr>
        <w:t>——1 根 CAN 网线级联双屏数据、1 根 6 类 RJ45 网线级联摄像头/交换机数据(Excel"驾控台相关接线(副)"第 1–2 行)。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/>
          <w:color w:val="1F3864"/>
          <w:sz w:val="21"/>
        </w:rPr>
        <w:t>控制通道与安全通道物理分离</w:t>
      </w:r>
      <w:r>
        <w:rPr>
          <w:rFonts w:ascii="宋体" w:hAnsi="宋体" w:eastAsia="宋体"/>
          <w:sz w:val="21"/>
        </w:rPr>
        <w:t>:凡是"启停/故障/复位"类操作信号经 VCU 走 CAN;凡是"急停/电池急停/电源启停"类安全信号</w:t>
      </w:r>
      <w:r>
        <w:rPr>
          <w:rFonts w:ascii="宋体" w:hAnsi="宋体" w:eastAsia="宋体"/>
          <w:b/>
          <w:color w:val="1F3864"/>
          <w:sz w:val="21"/>
        </w:rPr>
        <w:t>硬接线直连</w:t>
      </w:r>
      <w:r>
        <w:rPr>
          <w:rFonts w:ascii="宋体" w:hAnsi="宋体" w:eastAsia="宋体"/>
          <w:sz w:val="21"/>
        </w:rPr>
        <w:t>,不经 VCU、不经计算单元(Excel 逐条标注"是否经过驾控台内 VCU")。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2.2 安全独立性原则(V2 新增命名,技术实质 V1 已具备)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对标智航"安全独立性三原则"提炼,以下原则本项目</w:t>
      </w:r>
      <w:r>
        <w:rPr>
          <w:rFonts w:ascii="宋体" w:hAnsi="宋体" w:eastAsia="宋体"/>
          <w:b/>
          <w:i/>
          <w:color w:val="595959"/>
          <w:sz w:val="20"/>
        </w:rPr>
        <w:t>技术上已经落地</w:t>
      </w:r>
      <w:r>
        <w:rPr>
          <w:rFonts w:ascii="宋体" w:hAnsi="宋体" w:eastAsia="宋体"/>
          <w:i/>
          <w:color w:val="595959"/>
          <w:sz w:val="20"/>
        </w:rPr>
        <w:t>,V2 只是把它们正式命名、集中陈述,</w:t>
      </w:r>
      <w:r>
        <w:rPr>
          <w:rFonts w:ascii="宋体" w:hAnsi="宋体" w:eastAsia="宋体"/>
          <w:b/>
          <w:i/>
          <w:color w:val="595959"/>
          <w:sz w:val="20"/>
        </w:rPr>
        <w:t>不涉及任何硬件改动</w:t>
      </w:r>
      <w:r>
        <w:rPr>
          <w:rFonts w:ascii="宋体" w:hAnsi="宋体" w:eastAsia="宋体"/>
          <w:i/>
          <w:color w:val="595959"/>
          <w:sz w:val="20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4706"/>
        <w:gridCol w:w="4706"/>
      </w:tblGrid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本项目落地方式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通道分离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控制写入(启停/故障/复位,经 VCU 走 CAN)与安全信号(急停/电源启停,硬接线直连)物理与逻辑分离,见 2.1 第 3 点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旁路 / 隔离 / 只读(V2 新增声明)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惯导、毫米波雷达、报警器等感知与状态信号技术实质为单向只读采集,不向原设备总线施加控制负载。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建议在正式技术协议中补充这一条正式声明</w:t>
            </w:r>
            <w:r>
              <w:rPr>
                <w:rFonts w:ascii="宋体" w:hAnsi="宋体" w:eastAsia="宋体"/>
                <w:sz w:val="19"/>
              </w:rPr>
              <w:t>,不涉及硬件改动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故障不降级(V2 新增设计要求,见 4.4)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VCU 死机、CAN 总线中断等场景下,推进器应执行确定性的安全动作,而非未定义行为。V1 材料未明确此项,V2 第 4.4 节补充设计要求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2.3 分层拓扑图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897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-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8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color w:val="2E5B8A"/>
          <w:sz w:val="19"/>
        </w:rPr>
        <w:t>图 1　主 / 副驾控台双中枢分层拓扑图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2.4 主 / 副驾控台配置差异对照表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配置项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主驾控台(驾驶室)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副驾控台(飞桥)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按键面板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完整(电源/推进/急停/复位/消音/SOC/主副权限切换)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精简版,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表述存疑</w:t>
            </w:r>
            <w:r>
              <w:rPr>
                <w:rFonts w:ascii="宋体" w:hAnsi="宋体" w:eastAsia="宋体"/>
                <w:sz w:val="19"/>
              </w:rPr>
              <w:t>(见§8)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VCU(712)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有</w:t>
            </w:r>
            <w:r>
              <w:rPr>
                <w:rFonts w:ascii="宋体" w:hAnsi="宋体" w:eastAsia="宋体"/>
                <w:sz w:val="19"/>
              </w:rPr>
              <w:t>(独立一套,经 CAN 与主台仲裁)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协议转换盒/采集单元/串口解析/交换机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全套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无</w:t>
            </w:r>
            <w:r>
              <w:rPr>
                <w:rFonts w:ascii="宋体" w:hAnsi="宋体" w:eastAsia="宋体"/>
                <w:sz w:val="19"/>
              </w:rPr>
              <w:t>,数据经主台级联而来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有(级联主台数据)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音频功放+喇叭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有(独立一套)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一键急停旋钮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有(与主台串联进整体急停回路)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供电模块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双路 AC220+DC24 完整链路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DC/DC(24→12)+8位DC12汇流排(简配)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推进手柄/电子方向机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</w:t>
            </w:r>
          </w:p>
        </w:tc>
      </w:tr>
    </w:tbl>
    <w:p>
      <w:pPr>
        <w:spacing w:after="200"/>
      </w:pP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权限切换硬约束(Excel + 框图一致):</w:t>
      </w:r>
      <w:r>
        <w:rPr>
          <w:rFonts w:ascii="宋体" w:hAnsi="宋体" w:eastAsia="宋体"/>
          <w:b/>
          <w:i/>
          <w:color w:val="595959"/>
          <w:sz w:val="20"/>
        </w:rPr>
        <w:t>主副驾驶权限切换前,两个驾控台手柄必须回空挡</w:t>
      </w:r>
      <w:r>
        <w:rPr>
          <w:rFonts w:ascii="宋体" w:hAnsi="宋体" w:eastAsia="宋体"/>
          <w:i/>
          <w:color w:val="595959"/>
          <w:sz w:val="20"/>
        </w:rPr>
        <w:t>。</w:t>
      </w: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三、信号与数据流架构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3.1 四类总线一览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总线/介质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典型信号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特点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是否经 VCU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CAN(智控CAN/控制CAN/操控CAN)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推进转速、转向角度、智控指令、手柄/方向机操控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实时闭环控制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是(常规操作)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以太网(RJ45,百兆/千兆)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直流板、电池、摄像头、声呐、4G路由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大带宽数据/视频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否(旁路,直连交换机→屏)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RS485/RS232/模拟量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惯导、通用/火灾报警器、七氟丙烷复视器、液位、4-20mA转速反馈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状态采集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否(经专用采集单元→屏)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硬接线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急停、电池急停、电源启停、故障灯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安全关键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否,物理旁路 VCU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3.2 按总线域拆分的数据流图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0909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-h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909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color w:val="2E5B8A"/>
          <w:sz w:val="19"/>
        </w:rPr>
        <w:t>图 2　按总线域拆分的信号数据流图</w:t>
      </w: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四、三条关键设计主线 + 失效场景应对(V2 新增 4.4)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4.1 有人驾驶 ⇄ 智控自主 切换(吊舱方案,本船适用)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b/>
          <w:i/>
          <w:color w:val="595959"/>
          <w:sz w:val="20"/>
        </w:rPr>
        <w:t>命名澄清(V2 新增)</w:t>
      </w:r>
      <w:r>
        <w:rPr>
          <w:rFonts w:ascii="宋体" w:hAnsi="宋体" w:eastAsia="宋体"/>
          <w:i/>
          <w:color w:val="595959"/>
          <w:sz w:val="20"/>
        </w:rPr>
        <w:t>:此处"智控自主"准确含义为"电子遥控 + 目标角度闭环跟随",不涉及路径规划、避障或风险评分决策,与行业内"自主航行决策"概念不同,对外沟通建议明确边界。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08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3-h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08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color w:val="2E5B8A"/>
          <w:sz w:val="19"/>
        </w:rPr>
        <w:t>图 3　有人驾驶 ⇄ 智控自主 模式切换状态图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4706"/>
        <w:gridCol w:w="4706"/>
      </w:tblGrid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要点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切换方式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控制盒按钮,屏显 INT(手柄)/EXT(智控)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通信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手柄经 CAN 与智控系统通信,做模式/功能切换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切入前置条件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推进转速归零 + 吊舱自动垂直归位(初始位置)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待标定参数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吊舱 0–330° 与满舵方向盘圈数的映射关系,需联调阶段标定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退出条件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材料未明确</w:t>
            </w:r>
            <w:r>
              <w:rPr>
                <w:rFonts w:ascii="宋体" w:hAnsi="宋体" w:eastAsia="宋体"/>
                <w:sz w:val="19"/>
              </w:rPr>
              <w:t>,列入第八章待确认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备选架构(非本船)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材料同时给出"螺旋桨方案":驾控台增设智控/有人旋钮,两路信号分别到 1#/2# 推进控制箱并做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信号隔离</w:t>
            </w:r>
            <w:r>
              <w:rPr>
                <w:rFonts w:ascii="宋体" w:hAnsi="宋体" w:eastAsia="宋体"/>
                <w:sz w:val="19"/>
              </w:rPr>
              <w:t>,增加两路 4-20mA 转速反馈采集;退出人工前不要求转速为 0。仅供其它船型参考,本船以吊舱方案为准。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4.2 双驾控台站点权限切换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023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4-h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02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color w:val="2E5B8A"/>
          <w:sz w:val="19"/>
        </w:rPr>
        <w:t>图 4　主 / 副驾控台站点权限切换状态图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4.3 安全冗余设计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4706"/>
        <w:gridCol w:w="4706"/>
      </w:tblGrid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冗余维度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设计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急停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多点硬接线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串联</w:t>
            </w:r>
            <w:r>
              <w:rPr>
                <w:rFonts w:ascii="宋体" w:hAnsi="宋体" w:eastAsia="宋体"/>
                <w:sz w:val="19"/>
              </w:rPr>
              <w:t>,任一急停触发即整体推进急停;两对常闭触点分别隔离 1#/2# 推进;主/副驾控台急停旋钮+甲板扩展急停(1–2 路)全部串联,示意图见协议图"急停串联接线-2路/3路"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供电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驾控台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必须支持双路供电</w:t>
            </w:r>
            <w:r>
              <w:rPr>
                <w:rFonts w:ascii="宋体" w:hAnsi="宋体" w:eastAsia="宋体"/>
                <w:sz w:val="19"/>
              </w:rPr>
              <w:t>(DC24V + AC220V);导轨开关电源(AC220→DC24 主电源)+ DCDC 隔离稳压(DC24→DC24 电源隔离)+ 二极管模块(双路转单路)+ 独立应急电源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操舵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配备应急舵,偏航/转舵失效时人员可随时接管操舵机构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控制/安全通道解耦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 xml:space="preserve">启停/故障/复位等常规操作经 VCU→CAN;急停/电池急停/电源启停等安全信号硬接线直连,不经 VCU、不经计算单元 —— 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能停船的都是硬线,能优化操作的才上 CAN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环境适应性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采控单元普遍满足 IP67、-30~70℃工作温度、GJB150.16A 振动、GJB150.11 盐雾;显控屏 IP66;驾控台台体 IP44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4.4 失效场景与应对(V2 新增,设计要求·不涉及新增硬件)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对标智航"失效场景穷举表"打法,套用到本项目真实存在的失效场景。V1 材料对以下场景均</w:t>
      </w:r>
      <w:r>
        <w:rPr>
          <w:rFonts w:ascii="宋体" w:hAnsi="宋体" w:eastAsia="宋体"/>
          <w:b/>
          <w:i/>
          <w:color w:val="595959"/>
          <w:sz w:val="20"/>
        </w:rPr>
        <w:t>未定义行为</w:t>
      </w:r>
      <w:r>
        <w:rPr>
          <w:rFonts w:ascii="宋体" w:hAnsi="宋体" w:eastAsia="宋体"/>
          <w:i/>
          <w:color w:val="595959"/>
          <w:sz w:val="20"/>
        </w:rPr>
        <w:t>,以下为 V2 建议写入详设文档的</w:t>
      </w:r>
      <w:r>
        <w:rPr>
          <w:rFonts w:ascii="宋体" w:hAnsi="宋体" w:eastAsia="宋体"/>
          <w:b/>
          <w:i/>
          <w:color w:val="595959"/>
          <w:sz w:val="20"/>
        </w:rPr>
        <w:t>设计要求</w:t>
      </w:r>
      <w:r>
        <w:rPr>
          <w:rFonts w:ascii="宋体" w:hAnsi="宋体" w:eastAsia="宋体"/>
          <w:i/>
          <w:color w:val="595959"/>
          <w:sz w:val="20"/>
        </w:rPr>
        <w:t>,供浦立泽详设阶段落地确认。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失效场景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建议的确定性应对动作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是否需新增硬件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 总线通信中断(手柄/方向机 ↔ VCU)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推进器就地保持当前指令,禁止接受新的非急停类指令,直至通信恢复;超时阈值待联调标定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VCU(主或副)死机/断电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该驾控台失去操控权,自动切至另一驾控台或保持当前推进状态;急停回路因硬接线不经 VCU,不受影响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惯导失锁/信号异常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停止基于惯导数据的显示更新并标红提示,不影响推进/转向的手柄直接控制能力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4G/5G 断网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本地显控屏功能不受影响(数据采集与显示均为本地闭环),仅云端同步中断,恢复后续传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智控模式下 CAN 通信丢包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立即降级为手动模式并声光提示,不允许在通信质量不确定时维持智控状态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 VCU 仲裁通信异常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权限切换功能锁定在当前在权驾控台,拒绝新的切换请求,避免出现"双台同时在权"的危险状态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五、设备-总线-单元全链路追溯矩阵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按协议 §2.2.1–2.2.11 的子系统划分,标注"现场设备 → 接口 → 汇入单元 → 是否经VCU → 上屏"及来源,便于详设阶段逐条核对。内容与 V1 一致,未发现需要修订之处。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5.1 动力与转向控制系统(协议§2.2.1)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现场设备/信号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接口类型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汇入单元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经VCU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上屏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712 推进手柄(0-330°/4-20mA)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CAN+模拟量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VCU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Excel712#1;协议§2.2.1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电子方向机/操控盒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VCU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框图P1注3-4;协议§2.2.1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智控系统指令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智控CAN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VCU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框图P1;13f9d820 P9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1#/2#推进启停/故障/复位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CAN航插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VCU→协议转换盒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是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Excel712#9-16,29-36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1#/2#推进急停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硬接线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直连推进控制箱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报警显示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Excel712#11-12,31-32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驾控台/扩展一键急停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硬接线串联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直连推进控制箱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报警显示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Excel712#47-54;13f9d820 P6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5.2 电池监测系统(协议§2.2.2)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现场设备/信号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接口类型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汇入单元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经VCU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上屏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1#/2#电源启停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硬接线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直流配电板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报警显示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Excel712#1-4,21-24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1#/2#电池急停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硬接线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直流配电板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报警显示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Excel712#3-4,23-24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1#/2#电源AC220V/DC24V失电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硬接线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按键/电源采集单元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Excel712#17-20,37-40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1#/2#电池SOC低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硬接线信号灯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直流配电板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Excel712#43-46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左/右电池控制箱数据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以太网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8口交换机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框图P1 LAN3/LAN4;协议§2.2.2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左/右直流板数据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以太网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8口交换机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框图P1 LAN1/LAN2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5.3 报警和数据采集与通信单元(协议§2.2.3)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现场设备/信号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接口类型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汇入单元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经VCU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上屏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淡水箱液位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模拟量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报警和数据采集单元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Excel船体#27-28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1#/2#黑水箱液位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模拟量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报警和数据采集单元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Excel船体#29-32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舱底水高位×6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开关量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报警和数据采集单元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Excel船体#33-44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电池仓风机运行状态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无源开关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报警和数据采集单元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Excel船体#5-6,11-12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通用报警器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RS485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串口解析单元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Excel船体#21-22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火灾报警器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RS485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串口解析单元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Excel船体#23-24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七氟丙烷复视器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RS485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串口解析单元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Excel船体#25-26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电池仓风机启/停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无源开关输出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数字量控制单元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Excel船体#1-4,7-10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总用泵启/停/运行状态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待定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数字量控制单元/报警数据采集单元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双屏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Excel船体#13-18(标注"若有")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5.4 综合显示与报警单元(协议§2.2.4)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15.6寸综合显控屏×2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IDT-156S-S1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4LAN+3CAN+2串口+1音频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协议P10-11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8口千兆交换机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IE-SW-ELB-08-8TX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8×RJ45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协议P8-9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5口千兆交换机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IE-SW-ELB-05-5GT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5×RJ45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协议P11-12</w:t>
            </w:r>
          </w:p>
        </w:tc>
      </w:tr>
    </w:tbl>
    <w:p>
      <w:pPr>
        <w:spacing w:after="200"/>
      </w:pPr>
    </w:p>
    <w:p>
      <w:pPr>
        <w:spacing w:after="120" w:line="300" w:lineRule="auto"/>
        <w:jc w:val="both"/>
      </w:pPr>
      <w:r>
        <w:rPr>
          <w:rFonts w:ascii="宋体" w:hAnsi="宋体" w:eastAsia="宋体"/>
          <w:b/>
          <w:color w:val="1F3864"/>
          <w:sz w:val="21"/>
        </w:rPr>
        <w:t>左/右屏端口归属(框图P3明确)</w:t>
      </w:r>
      <w:r>
        <w:rPr>
          <w:rFonts w:ascii="宋体" w:hAnsi="宋体" w:eastAsia="宋体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左屏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右屏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5口交换机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摄像头+声呐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摄像头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8口交换机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电池+直流板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电池+直流板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CAN网集线器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有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毫米波雷达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有</w:t>
            </w:r>
            <w:r>
              <w:rPr>
                <w:rFonts w:ascii="宋体" w:hAnsi="宋体" w:eastAsia="宋体"/>
                <w:sz w:val="19"/>
              </w:rPr>
              <w:t>(仅左屏列出)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未列出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音频功放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有</w:t>
            </w:r>
            <w:r>
              <w:rPr>
                <w:rFonts w:ascii="宋体" w:hAnsi="宋体" w:eastAsia="宋体"/>
                <w:sz w:val="19"/>
              </w:rPr>
              <w:t>(仅左屏列出)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未列出</w:t>
            </w:r>
          </w:p>
        </w:tc>
      </w:tr>
    </w:tbl>
    <w:p>
      <w:pPr>
        <w:spacing w:after="200"/>
      </w:pP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惯导落在哪个具体 CAN/串口口,材料未到端口级,见第八章待确认。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5.5 导航集成单元(协议§2.2.5)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关键参数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惯导控制器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HI32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RS232/RS422/CAN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定向精度0.2°(1m基线),俯仰/横滚0.1°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协议P12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惯导天线×2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TNC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间距&gt;1.2m(协议)/1.5m(安装图),船顶开阔区域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协议P12;13f9d820 P2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5.6 声呐系统(协议§2.2.6)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关键参数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动态声呐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IUS-107U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以太网/HDMI/WiFi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135°成像,最大深度60m,DC10-18V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5.7 毫米波雷达(协议§2.2.7)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关键参数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毫米波雷达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CAR-A60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探测40m,水平±60°,IP67,船首内嵌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5.8 视频监控系统(协议§2.2.8)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安装位置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硬盘刻录机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DH-NVR4208-HDS3/I+ST6000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驾驶室内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广角摄像头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DH-IPC-PFW4849-A180-E2-AST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船体外部前后左右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电池仓摄像头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DH-IPC-HFW1433M3-A-IL4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电池仓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监控边缘计算盒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16路智能分析盒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驾驶室内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5.9 音频系统(协议§2.2.9)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数量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音频功放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H-833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支持USB,30个预存电台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语音喇叭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白色蓝灯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2(可扩展至4,协议注7)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IP66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5.10 4G/5G云端通信(协议§2.2.10)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设备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4G路由器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TL-TR903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3百兆口+双LTE天线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协议P15-16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5.11 急停开关(协议§2.2.11)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4706"/>
        <w:gridCol w:w="4706"/>
      </w:tblGrid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型号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M22,两常闭+船型保护盖,红色蘑菇头40mm,开孔∅22mm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隔离方式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两对常闭触点分别对应1#/2#推进急停</w:t>
            </w:r>
          </w:p>
        </w:tc>
      </w:tr>
      <w:tr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接线原则</w:t>
            </w:r>
          </w:p>
        </w:tc>
        <w:tc>
          <w:tcPr>
            <w:tcW w:type="dxa" w:w="470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多点必须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串联</w:t>
            </w:r>
            <w:r>
              <w:rPr>
                <w:rFonts w:ascii="宋体" w:hAnsi="宋体" w:eastAsia="宋体"/>
                <w:sz w:val="19"/>
              </w:rPr>
              <w:t>,任一路触发即整体推进急停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六、采控与关键设备技术规格速查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单元/设备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电压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功耗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防护等级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核心功能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按键/电源采集单元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ICC-01CB-S1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9-36V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≤5W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IP67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10路DI/AI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消音、电源失电、主备电失电采集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协议转换盒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IGS-603B-S1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9-36V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≤5W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IP67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1CAN+3RS485+2RS232+2DI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吊舱推进转向CAN控制、智控状态采集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报警和数据采集单元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ICC-01CB-S2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9-36V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≤5W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IP67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10路DI/AI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液位、舱底水、风机状态采集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串口解析单元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IGS-603B-S2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9-36V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≤5W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IP67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1CAN+3RS485+2RS232+2DI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通用/火灾报警器、七氟丙烷复视器接入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综合显控屏(左/右)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IDT-156S-S1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9-36V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≤30W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IP66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4LAN+3CAN+2串口+1音频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全船状态显示、航行控制、权限切换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8口千兆交换机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IE-SW-ELB-08-8TX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9-36V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≤4W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IP20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8×RJ45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直流板×2+电池×2汇聚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5口千兆交换机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IE-SW-ELB-05-5GT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9-36V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≤4W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IP20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5×RJ45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视频+声呐+4G汇聚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惯导控制器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HI32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12V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&lt;2W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RS232/RS422/CAN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双天线定向、姿态、定位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动态声呐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IUS-107U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DC10-18V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&lt;22W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LAN/HDMI/WiFi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水下135°成像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毫米波雷达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CAR-A60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12-24V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&lt;3.5W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IP67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40m避障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硬盘刻录机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DH-NVR4208-HDS3/I+ST6000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DC12V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&lt;200W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以太网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视频存储回放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音频功放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H-833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DC12V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&lt;200W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IP66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音频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提示音/广播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4G路由器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TL-TR903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DC12V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&lt;8W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IP65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3×百兆口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船岸云端交互</w:t>
            </w:r>
          </w:p>
        </w:tc>
      </w:tr>
      <w:tr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急停开关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M22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硬接线</w:t>
            </w:r>
          </w:p>
        </w:tc>
        <w:tc>
          <w:tcPr>
            <w:tcW w:type="dxa" w:w="1345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两常闭触点推进急停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七、关键约束与合规映射(V2 升级)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7.1 关键约束 Checklist(协议§1.3–1.6, 2.1,与 V1 一致)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满足 CCS《船舶应用电池动力规范》(2023)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满足《内河小型船舶检验技术规则》(2024)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满足 CCS《材料与焊接规范》(2023)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环境:海水 -2~+32℃,环境 -25~+45℃,湿度≤95%,气压100kPa,水流≤4.5m/s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姿态适应:横倾±15°,纵倾±7.5°,并耐受正常运行振动冲击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电制:直流24V双线绝缘,交流220V/50Hz单相双线绝缘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主电路色标:交流A/B/C=绿/黄/棕;直流正/负/地=红/蓝/黄绿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电缆:低烟无卤,芯线最小1.5mm²,载流量按85℃工作温度选取,通讯/模拟量线用双绞屏蔽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EMC按GB/T 10250-2007,参考IEC 60533/IEC 60945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驾控台:碳纤维复合材质,白色+金色,IP44,抗压强度55MPa,底部螺栓固定,前盖板可拆卸检修口,底部开孔进线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外形尺寸(含底座)约1000×1200×500mm,以认可图为准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全设备中文界面、中文铭牌(进口设备除外)、中文技术文件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2E5B8A"/>
          <w:sz w:val="21"/>
        </w:rPr>
        <w:t xml:space="preserve">☐ </w:t>
      </w:r>
      <w:r>
        <w:rPr>
          <w:rFonts w:ascii="宋体" w:hAnsi="宋体" w:eastAsia="宋体"/>
          <w:sz w:val="21"/>
        </w:rPr>
        <w:t>电气控制箱随箱附原理图(塑封或铜板)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7.2 合规映射表(V2 新增,对标智航"合规三件套")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把 7.1 的条文式约束,升级为"规范依据 → 本方案对应措施 → 验证/认可方式"三列映射,呈现方式对标智航,</w:t>
      </w:r>
      <w:r>
        <w:rPr>
          <w:rFonts w:ascii="宋体" w:hAnsi="宋体" w:eastAsia="宋体"/>
          <w:b/>
          <w:i/>
          <w:color w:val="595959"/>
          <w:sz w:val="20"/>
        </w:rPr>
        <w:t>覆盖领域范围不变</w:t>
      </w:r>
      <w:r>
        <w:rPr>
          <w:rFonts w:ascii="宋体" w:hAnsi="宋体" w:eastAsia="宋体"/>
          <w:i/>
          <w:color w:val="595959"/>
          <w:sz w:val="20"/>
        </w:rPr>
        <w:t>(本项目为小型内河游艇,不涉及 COLREG 避碰、SOLAS 大船条款等,如实标注"不适用")。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规范/依据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本方案对应措施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验证/认可方式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电池动力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CCS《船舶应用电池动力规范》(2023)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电池监测系统采集电池域/簇/包参数,双路供电+独立应急电源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图纸审查、出厂电气性能检查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船舶检验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《内河小型船舶检验技术规则》(2024)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按规则设计供货范围与结构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随船检验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材料焊接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CCS《材料与焊接规范》(2023)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台体材质与结构按规范设计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图纸审查、材质证明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设备环境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环境条件(§1.4)、GJB150 系列(振动/盐雾)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采控单元 IP67、-30~70℃、显控屏 IP66、台体 IP44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型式试验、产品认可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电磁兼容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GB/T 10250-2007,参考 IEC 60533/60945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设计与制造中采取抗干扰措施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EMC 测试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数字接口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无(本项目未采用 IEC 61162 系列航海数据标准接口)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现有信号旁路只读接入(见 2.2),未做标准化协议封装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不适用/暂不涉及</w:t>
            </w:r>
            <w:r>
              <w:rPr>
                <w:rFonts w:ascii="宋体" w:hAnsi="宋体" w:eastAsia="宋体"/>
                <w:sz w:val="19"/>
              </w:rPr>
              <w:t>,如后续接入标准航海设备建议参照 IEC 61162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避碰与自主决策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无(COLREG 等避碰规则)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本项目无自主决策能力,不涉及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不适用</w:t>
            </w:r>
            <w:r>
              <w:rPr>
                <w:rFonts w:ascii="宋体" w:hAnsi="宋体" w:eastAsia="宋体"/>
                <w:sz w:val="19"/>
              </w:rPr>
              <w:t>,见零章能力对标定位</w:t>
            </w:r>
          </w:p>
        </w:tc>
      </w:tr>
      <w:tr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网络安全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无正式依据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见第十一章"网络安全分区建议"(V2 新增)</w:t>
            </w:r>
          </w:p>
        </w:tc>
        <w:tc>
          <w:tcPr>
            <w:tcW w:type="dxa" w:w="2353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建议纳入联调试验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八、待定项与风险登记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对应招式10"开放项闭环"——摊开比藏着更显专业可控。V2 在 V1 基础上新增 1 条待定项(#12)。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表 A · 待定项(未决事项)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待定项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建议闭环方式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是否影响关键路径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副驾控台"控制面板"设备清单 与 注释"副驾控台不带按键面板"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表述矛盾</w:t>
            </w:r>
            <w:r>
              <w:rPr>
                <w:rFonts w:ascii="宋体" w:hAnsi="宋体" w:eastAsia="宋体"/>
                <w:sz w:val="19"/>
              </w:rPr>
              <w:t>(框图P2)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材料内部矛盾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与设计方澄清:副台是否仅含急停/消音等精简按键,还是命名重叠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智控→手动的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退出条件</w:t>
            </w:r>
            <w:r>
              <w:rPr>
                <w:rFonts w:ascii="宋体" w:hAnsi="宋体" w:eastAsia="宋体"/>
                <w:sz w:val="19"/>
              </w:rPr>
              <w:t>材料未注明(吊舱方案仅写了进入条件)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待客户/设计确认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联调阶段与甲方确认退出条件是否需要转速归零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控制接线板"3套"、动力与转向控制系统"3套"的数量构成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待确认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确认是否含主台+副台+机舱柜内接线板,或含备件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ICC/IGS 系列采集单元的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上行总线介质</w:t>
            </w:r>
            <w:r>
              <w:rPr>
                <w:rFonts w:ascii="宋体" w:hAnsi="宋体" w:eastAsia="宋体"/>
                <w:sz w:val="19"/>
              </w:rPr>
              <w:t>(CAN或以太网/Modbus TCP)未逐一标注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待设计澄清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Excel电池相关行出现"Modbus TCP"字样但未指明挂载单元,需在正式接线图明确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推进手柄、电子方向机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是否需要独立供电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框图P4明确写"待确认"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电气详设阶段确认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惯导馈线长度(标准10m)、雷达通信线长度(标准4m)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待确认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按实际船体布局测量确认,超长部分由浦立泽按需另行提供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动态声呐安装位置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"根据实际需求,进行沟通确认"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现场踏勘后确定安装支架方案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吊舱0-330°回转角 与 满舵方向盘圈数的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映射关系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智控参数待标定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联调阶段实测标定,写入智控角度闭环参数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总用泵启停/运行状态、舵角传感器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Excel标注"若有""预留"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确认本船是否配置,若无则删减对应端子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显控屏端口级信号分配(如惯导落在左/右屏哪路CAN/串口)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材料仅到功能级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正式接线图阶段明确端口分配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出厂试验项目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仅列2项</w:t>
            </w:r>
            <w:r>
              <w:rPr>
                <w:rFonts w:ascii="宋体" w:hAnsi="宋体" w:eastAsia="宋体"/>
                <w:sz w:val="19"/>
              </w:rPr>
              <w:t>(外观检查、电气性能检查),且标记"△"含义未注明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验收颗粒度不足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见第九章 FAT/HAT/SAT 框架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是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12(V2新增)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4G/5G 上云通道缺少网络安全网关设计,现状为直连交换机上云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对标发现的设计缺口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见第十一章"网络安全分区建议";确认客户是否要求本期实施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否(本船暂无远程接管功能,风险敞口有限)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表 B · 风险登记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可能性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应对措施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责任方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副驾控台按键面板范围理解偏差,导致现场安装/接线返工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详设前书面确认副台面板元器件清单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浦立泽+设计院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智控退出条件缺失,存在切回人工时推进器仍带速度/角度的安全隐患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联调前锁定退出条件并做安全测试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浦立泽+船厂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采集单元上行总线未明确,现场布线阶段临时变更CAN/以太网走线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提前出正式接线图并会签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浦立泽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验收标准过于笼统,交船前甲乙双方对"合格"标准产生争议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出厂前补充可量化验收大纲(见第九章)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双方共同</w:t>
            </w:r>
          </w:p>
        </w:tc>
      </w:tr>
      <w:tr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5(V2新增)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"智控系统"命名被误解为具备自主决策能力,客户对能力边界产生错误预期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对外沟通统一措辞,参照零章能力对标定位</w:t>
            </w:r>
          </w:p>
        </w:tc>
        <w:tc>
          <w:tcPr>
            <w:tcW w:type="dxa" w:w="1569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浦立泽+销售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九、交付物与验收表(V2 · 纳入 FAT/HAT/SAT 三级试验框架)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V1 的验收条目在此</w:t>
      </w:r>
      <w:r>
        <w:rPr>
          <w:rFonts w:ascii="宋体" w:hAnsi="宋体" w:eastAsia="宋体"/>
          <w:b/>
          <w:i/>
          <w:color w:val="595959"/>
          <w:sz w:val="20"/>
        </w:rPr>
        <w:t>直接映射</w:t>
      </w:r>
      <w:r>
        <w:rPr>
          <w:rFonts w:ascii="宋体" w:hAnsi="宋体" w:eastAsia="宋体"/>
          <w:i/>
          <w:color w:val="595959"/>
          <w:sz w:val="20"/>
        </w:rPr>
        <w:t>进智航方案的三级试验体系(FAT 工厂验收 / HAT 码头系泊 / SAT 航行试验),是整理性升级,不增加实际工作量。协议原文仅列"外观检查""电气性能检查"两项(§4.1),颗粒度不足以支撑交船验收,以下在协议基础上细化。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9.1 FAT · 工厂验收试验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验收标准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验收方式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外观检查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台体无划伤变形,IP44防护达标,颜色/铭牌符合认可图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现场目视+防护等级测试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协议原文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电气性能检查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各回路绝缘电阻、耐压、接地电阻符合CCS要求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出厂测试报告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协议原文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双路供电切换测试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AC220V/DC24V任一失电,系统在规定时间内无缝切至另一路,故障报警正确上屏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台架断电试验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建议新增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急停多点串联测试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主台/副台/扩展急停任一触发,1#/2#推进在≤规定时间内停止,不经VCU仍生效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台架按压实测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建议新增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CAN总线通信稳定性测试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振动/温度环境下推进CAN、智控CAN、操控CAN无丢包/无误码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环境应力+通信抓包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建议新增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产品合格证/出厂试验报告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交付前齐套提供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文件审核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协议原文§3.4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9.2 HAT · 码头 / 系泊试验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验收标准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验收方式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报警与数采链路测试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淡黑水液位、舱底水高位、电池SOC低等信号触发后≤规定时延上屏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逐点模拟触发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建议新增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视频/声呐/雷达功能测试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5路视频清晰可回放;声呐成像正常;雷达40m内目标正确预警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现场功能测试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建议新增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4G/5G船岸通信测试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船端数据可正常上云,岸端可实时获取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联网测试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建议新增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双驾控台权限切换测试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手柄回空挡后可正常切换;未回空挡时切换应被拒绝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现场联调实测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建议新增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失效场景应对测试(V2新增)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按第 4.4 节逐条验证 CAN中断/VCU死机/惯导失锁/4G断网 的确定性应对动作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现场模拟故障注入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V2 新增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9.3 SAT · 航行试验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验收标准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验收方式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来源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智控/手动模式切换测试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满足切入条件后可正常切至EXT;退出条件按第八章#2确认后验证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航行实测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建议新增</w:t>
            </w:r>
          </w:p>
        </w:tc>
      </w:tr>
      <w:tr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13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应急舵接管测试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转舵失效模拟场景下,人员可随时接管操舵机构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航行实测</w:t>
            </w:r>
          </w:p>
        </w:tc>
        <w:tc>
          <w:tcPr>
            <w:tcW w:type="dxa" w:w="1882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建议新增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9.4 可用度目标(V2 新增建议)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建议目标值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关键报警链路可用度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≥99%(按航行时长统计)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对标智航"监控系统可用度≥99.x%",本船规模下建议按船东要求确定具体小数位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基础链路稳定运行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≥30 天无故障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对标智航"实船安装联调"验收口径,可作为本船交船前的稳定性观察期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十、告警分级与轻量健康评分(V2 新增,软件层建议,不涉及硬件改动)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对标智航"三级告警分层(P0/P1/P2)"与"健康评分",复用</w:t>
      </w:r>
      <w:r>
        <w:rPr>
          <w:rFonts w:ascii="宋体" w:hAnsi="宋体" w:eastAsia="宋体"/>
          <w:b/>
          <w:i/>
          <w:color w:val="595959"/>
          <w:sz w:val="20"/>
        </w:rPr>
        <w:t>现有已采集信号</w:t>
      </w:r>
      <w:r>
        <w:rPr>
          <w:rFonts w:ascii="宋体" w:hAnsi="宋体" w:eastAsia="宋体"/>
          <w:i/>
          <w:color w:val="595959"/>
          <w:sz w:val="20"/>
        </w:rPr>
        <w:t>在软件/显示层重新归类,</w:t>
      </w:r>
      <w:r>
        <w:rPr>
          <w:rFonts w:ascii="宋体" w:hAnsi="宋体" w:eastAsia="宋体"/>
          <w:b/>
          <w:i/>
          <w:color w:val="595959"/>
          <w:sz w:val="20"/>
        </w:rPr>
        <w:t>不需要新增任何传感器或采控硬件</w:t>
      </w:r>
      <w:r>
        <w:rPr>
          <w:rFonts w:ascii="宋体" w:hAnsi="宋体" w:eastAsia="宋体"/>
          <w:i/>
          <w:color w:val="595959"/>
          <w:sz w:val="20"/>
        </w:rPr>
        <w:t>。健康评分为</w:t>
      </w:r>
      <w:r>
        <w:rPr>
          <w:rFonts w:ascii="宋体" w:hAnsi="宋体" w:eastAsia="宋体"/>
          <w:b/>
          <w:i/>
          <w:color w:val="595959"/>
          <w:sz w:val="20"/>
        </w:rPr>
        <w:t>可选项</w:t>
      </w:r>
      <w:r>
        <w:rPr>
          <w:rFonts w:ascii="宋体" w:hAnsi="宋体" w:eastAsia="宋体"/>
          <w:i/>
          <w:color w:val="595959"/>
          <w:sz w:val="20"/>
        </w:rPr>
        <w:t>,建议客户确认是否本期实施。</w:t>
      </w: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10.1 告警三级分层(建议新增,软件层)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级别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对应本项目现有信号(举例)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P0 紧急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直接威胁船舶安全,需立即处置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推进急停触发、电池急停触发、舱底水高位报警、火灾报警器触发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P1 预警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需要关注但不需立即停船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电池SOC低、电源AC220V/DC24V失电、主备电失电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P2 提示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状态提示,不代表故障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电池仓风机运行状态变化、一般设备状态刷新</w:t>
            </w:r>
          </w:p>
        </w:tc>
      </w:tr>
    </w:tbl>
    <w:p>
      <w:pPr>
        <w:spacing w:after="200"/>
      </w:pPr>
    </w:p>
    <w:p>
      <w:pPr>
        <w:spacing w:before="200" w:after="120"/>
        <w:pStyle w:val="Heading2"/>
        <w:pBdr>
          <w:left w:val="single" w:sz="18" w:space="8" w:color="8FA9C4"/>
        </w:pBdr>
        <w:ind w:left="113"/>
      </w:pPr>
      <w:r>
        <w:rPr>
          <w:rFonts w:ascii="微软雅黑" w:hAnsi="微软雅黑" w:eastAsia="微软雅黑"/>
          <w:b/>
          <w:color w:val="2E5B8A"/>
          <w:sz w:val="25"/>
        </w:rPr>
        <w:t>10.2 轻量健康评分(建议新增,可选,软件层)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仅为</w:t>
      </w:r>
      <w:r>
        <w:rPr>
          <w:rFonts w:ascii="宋体" w:hAnsi="宋体" w:eastAsia="宋体"/>
          <w:b/>
          <w:i/>
          <w:color w:val="595959"/>
          <w:sz w:val="20"/>
        </w:rPr>
        <w:t>建议方案</w:t>
      </w:r>
      <w:r>
        <w:rPr>
          <w:rFonts w:ascii="宋体" w:hAnsi="宋体" w:eastAsia="宋体"/>
          <w:i/>
          <w:color w:val="595959"/>
          <w:sz w:val="20"/>
        </w:rPr>
        <w:t>,基于现有信号做加权,不代表已实现功能,是否实施由客户确认。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评分维度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数据来源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扣分规则示例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电源健康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现有 AC220V/DC24V失电、主备电失电信号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触发失电 = 熔断至0分;正常按持续时长逐步恢复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电池健康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现有 SOC 低信号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SOC低触发 = 扣固定分值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推进健康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现有推进故障信号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故障触发 = 扣固定分值,复位后恢复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通信健康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第 4.4 节新增的 CAN 通信中断检测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通信中断持续时长越长扣分越多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十一、网络安全分区建议(V2 新增,建议新增网关设备)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对标智航"OT/IT/船岸三域"设计,应用到本项目现有拓扑,发现 4G/5G 上云通道当前</w:t>
      </w:r>
      <w:r>
        <w:rPr>
          <w:rFonts w:ascii="宋体" w:hAnsi="宋体" w:eastAsia="宋体"/>
          <w:b/>
          <w:i/>
          <w:color w:val="595959"/>
          <w:sz w:val="20"/>
        </w:rPr>
        <w:t>缺少网络安全网关</w:t>
      </w:r>
      <w:r>
        <w:rPr>
          <w:rFonts w:ascii="宋体" w:hAnsi="宋体" w:eastAsia="宋体"/>
          <w:i/>
          <w:color w:val="595959"/>
          <w:sz w:val="20"/>
        </w:rPr>
        <w:t>(直连交换机上云,无鉴权/无白名单)。本船暂无远程接管功能,风险敞口有限,但建议至少补充基础网关设备。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0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5-h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/>
          <w:color w:val="2E5B8A"/>
          <w:sz w:val="19"/>
        </w:rPr>
        <w:t>图 5　网络安全分区示意图(OT / IT / 船岸三域,建议新增网关)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分区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现状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建议(是否需新增硬件)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OT 域(采集与控制)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已天然隔离,CAN 总线不直接对外暴露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无需改动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IT 域(融合计算与人机)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交换机+屏幕内网运行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无需改动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船岸域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4G 路由器直连交换机上云,</w:t>
            </w:r>
            <w:r>
              <w:rPr>
                <w:rFonts w:ascii="宋体" w:hAnsi="宋体" w:eastAsia="宋体"/>
                <w:b/>
                <w:color w:val="1F3864"/>
                <w:sz w:val="19"/>
              </w:rPr>
              <w:t>无网关/无鉴权/无白名单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/>
                <w:color w:val="1F3864"/>
                <w:sz w:val="19"/>
              </w:rPr>
              <w:t>建议新增基础网络安全网关</w:t>
            </w:r>
            <w:r>
              <w:rPr>
                <w:rFonts w:ascii="宋体" w:hAnsi="宋体" w:eastAsia="宋体"/>
                <w:sz w:val="19"/>
              </w:rPr>
              <w:t>(小型设备,非大改),或至少要求路由器侧启用基本访问控制</w:t>
            </w:r>
          </w:p>
        </w:tc>
      </w:tr>
    </w:tbl>
    <w:p>
      <w:pPr>
        <w:spacing w:after="200"/>
      </w:pP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十二、支柱二能力路线图(不在本期供货范围,V2 新增)</w:t>
      </w:r>
    </w:p>
    <w:p>
      <w:pPr>
        <w:spacing w:before="80" w:after="160"/>
        <w:ind w:left="283"/>
        <w:pBdr>
          <w:left w:val="single" w:sz="18" w:space="8" w:color="C0A030"/>
        </w:pBdr>
      </w:pPr>
      <w:r>
        <w:rPr>
          <w:rFonts w:ascii="宋体" w:hAnsi="宋体" w:eastAsia="宋体"/>
          <w:i/>
          <w:color w:val="595959"/>
          <w:sz w:val="20"/>
        </w:rPr>
        <w:t>以下能力</w:t>
      </w:r>
      <w:r>
        <w:rPr>
          <w:rFonts w:ascii="宋体" w:hAnsi="宋体" w:eastAsia="宋体"/>
          <w:b/>
          <w:i/>
          <w:color w:val="595959"/>
          <w:sz w:val="20"/>
        </w:rPr>
        <w:t>均不属于本项目当前供货范围</w:t>
      </w:r>
      <w:r>
        <w:rPr>
          <w:rFonts w:ascii="宋体" w:hAnsi="宋体" w:eastAsia="宋体"/>
          <w:i/>
          <w:color w:val="595959"/>
          <w:sz w:val="20"/>
        </w:rPr>
        <w:t>,如客户后续希望向"自主航行"方向演进,需要独立立项,不能通过软件升级现有系统获得。完整分析见《智航对标-差异化分析.md》第四章,此处仅列摘要。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2C6"/>
          <w:left w:val="single" w:sz="4" w:space="0" w:color="9DB2C6"/>
          <w:bottom w:val="single" w:sz="4" w:space="0" w:color="9DB2C6"/>
          <w:right w:val="single" w:sz="4" w:space="0" w:color="9DB2C6"/>
          <w:insideH w:val="single" w:sz="4" w:space="0" w:color="9DB2C6"/>
          <w:insideV w:val="single" w:sz="4" w:space="0" w:color="9DB2C6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目标能力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需新增硬件(摘要)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386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需新增软件/算法(摘要)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多源融合感知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激光雷达、毫米波雷达阵列、AIS 接收机、补充视觉传感器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三级融合算法、统一时空基准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自主航行决策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独立自主推理算力单元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路径规划、动态避障、碰撞风险评分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定点驻泊动力定位(DP)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硬件基础已具备(吊舱全向推力)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DP 控制算法、风流扰动补偿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自主靠离泊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近距高精度雷达、全景拼接摄像头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5F9"/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靠泊路径规划、姿态修正闭环</w:t>
            </w:r>
          </w:p>
        </w:tc>
      </w:tr>
      <w:tr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岸基远程接管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网络安全网关(见第十一章)、双链路冗余</w:t>
            </w:r>
          </w:p>
        </w:tc>
        <w:tc>
          <w:tcPr>
            <w:tcW w:type="dxa" w:w="3137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sz w:val="19"/>
              </w:rPr>
              <w:t>受限接管协议、命令签名与租约</w:t>
            </w:r>
          </w:p>
        </w:tc>
      </w:tr>
    </w:tbl>
    <w:p>
      <w:pPr>
        <w:spacing w:after="200"/>
      </w:pPr>
    </w:p>
    <w:p>
      <w:pPr>
        <w:spacing w:after="120" w:line="300" w:lineRule="auto"/>
        <w:jc w:val="both"/>
      </w:pPr>
      <w:r>
        <w:rPr>
          <w:rFonts w:ascii="宋体" w:hAnsi="宋体" w:eastAsia="宋体"/>
          <w:b/>
          <w:color w:val="1F3864"/>
          <w:sz w:val="21"/>
        </w:rPr>
        <w:t>建议对客户的表述</w:t>
      </w:r>
      <w:r>
        <w:rPr>
          <w:rFonts w:ascii="宋体" w:hAnsi="宋体" w:eastAsia="宋体"/>
          <w:sz w:val="21"/>
        </w:rPr>
        <w:t>:本项目定位为"智能驾控台 + 基础智控"的快速落地标杆,验证双驾控台冗余、安全通道解耦等核心架构后,后续可作为向自主航行演进的</w:t>
      </w:r>
      <w:r>
        <w:rPr>
          <w:rFonts w:ascii="宋体" w:hAnsi="宋体" w:eastAsia="宋体"/>
          <w:b/>
          <w:color w:val="1F3864"/>
          <w:sz w:val="21"/>
        </w:rPr>
        <w:t>试验母船</w:t>
      </w:r>
      <w:r>
        <w:rPr>
          <w:rFonts w:ascii="宋体" w:hAnsi="宋体" w:eastAsia="宋体"/>
          <w:sz w:val="21"/>
        </w:rPr>
        <w:t>,但演进本身需要独立立项、预算与船级社认证路径。</w:t>
      </w:r>
    </w:p>
    <w:p>
      <w:pPr>
        <w:spacing w:before="40" w:after="200"/>
        <w:pBdr>
          <w:bottom w:val="single" w:sz="6" w:space="4" w:color="C7D3E0"/>
        </w:pBdr>
      </w:pPr>
    </w:p>
    <w:p>
      <w:pPr>
        <w:spacing w:before="80"/>
      </w:pPr>
    </w:p>
    <w:p>
      <w:pPr>
        <w:spacing w:before="120" w:after="200"/>
        <w:pStyle w:val="Heading1"/>
        <w:pBdr>
          <w:bottom w:val="single" w:sz="16" w:space="4" w:color="1F3864"/>
        </w:pBdr>
      </w:pPr>
      <w:r>
        <w:rPr>
          <w:rFonts w:ascii="微软雅黑" w:hAnsi="微软雅黑" w:eastAsia="微软雅黑"/>
          <w:b/>
          <w:color w:val="1F3864"/>
          <w:sz w:val="32"/>
        </w:rPr>
        <w:t>十三、后续建议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1. </w:t>
      </w:r>
      <w:r>
        <w:rPr>
          <w:rFonts w:ascii="宋体" w:hAnsi="宋体" w:eastAsia="宋体"/>
          <w:b/>
          <w:color w:val="1F3864"/>
          <w:sz w:val="21"/>
        </w:rPr>
        <w:t>本文档 → 投标/汇报叙事版本</w:t>
      </w:r>
      <w:r>
        <w:rPr>
          <w:rFonts w:ascii="宋体" w:hAnsi="宋体" w:eastAsia="宋体"/>
          <w:sz w:val="21"/>
        </w:rPr>
        <w:t>:如需向甲方决策层展示,建议交由 🏹 Proposal Strategist 参照船舶标杆案例的"6章决策问题弧",或参照新增的"智航标杆案例"(</w:t>
      </w:r>
      <w:r>
        <w:rPr>
          <w:rFonts w:ascii="Consolas" w:hAnsi="Consolas" w:eastAsia="微软雅黑"/>
          <w:color w:val="8A2BE2"/>
          <w:sz w:val="20"/>
        </w:rPr>
        <w:t>curriculum/案例标杆/船端智能一体化平台-智航方案-架构思路.md</w:t>
      </w:r>
      <w:r>
        <w:rPr>
          <w:rFonts w:ascii="宋体" w:hAnsi="宋体" w:eastAsia="宋体"/>
          <w:sz w:val="21"/>
        </w:rPr>
        <w:t>)的"可信度优先"打法重组——尤其是第七、十一章的合规映射与网络安全分区,适合总体所/船检类受众。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2. </w:t>
      </w:r>
      <w:r>
        <w:rPr>
          <w:rFonts w:ascii="宋体" w:hAnsi="宋体" w:eastAsia="宋体"/>
          <w:b/>
          <w:color w:val="1F3864"/>
          <w:sz w:val="21"/>
        </w:rPr>
        <w:t>第八章待定项</w:t>
      </w:r>
      <w:r>
        <w:rPr>
          <w:rFonts w:ascii="宋体" w:hAnsi="宋体" w:eastAsia="宋体"/>
          <w:sz w:val="21"/>
        </w:rPr>
        <w:t xml:space="preserve">建议逐条指派责任方和闭环时间,套用 </w:t>
      </w:r>
      <w:r>
        <w:rPr>
          <w:rFonts w:ascii="Consolas" w:hAnsi="Consolas" w:eastAsia="微软雅黑"/>
          <w:color w:val="8A2BE2"/>
          <w:sz w:val="20"/>
        </w:rPr>
        <w:t>curriculum/模板库/待定项与风险登记.md</w:t>
      </w:r>
      <w:r>
        <w:rPr>
          <w:rFonts w:ascii="宋体" w:hAnsi="宋体" w:eastAsia="宋体"/>
          <w:sz w:val="21"/>
        </w:rPr>
        <w:t xml:space="preserve"> 模板正式建档,避免开工后成为扯皮点。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3. </w:t>
      </w:r>
      <w:r>
        <w:rPr>
          <w:rFonts w:ascii="宋体" w:hAnsi="宋体" w:eastAsia="宋体"/>
          <w:b/>
          <w:color w:val="1F3864"/>
          <w:sz w:val="21"/>
        </w:rPr>
        <w:t>第九章验收表</w:t>
      </w:r>
      <w:r>
        <w:rPr>
          <w:rFonts w:ascii="宋体" w:hAnsi="宋体" w:eastAsia="宋体"/>
          <w:sz w:val="21"/>
        </w:rPr>
        <w:t>建议在出厂检试大纲中正式落地,与甲方书面会签,避免协议"△"标记含义不清导致交验争议。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4. </w:t>
      </w:r>
      <w:r>
        <w:rPr>
          <w:rFonts w:ascii="宋体" w:hAnsi="宋体" w:eastAsia="宋体"/>
          <w:b/>
          <w:color w:val="1F3864"/>
          <w:sz w:val="21"/>
        </w:rPr>
        <w:t>架构图(第二、三章)</w:t>
      </w:r>
      <w:r>
        <w:rPr>
          <w:rFonts w:ascii="宋体" w:hAnsi="宋体" w:eastAsia="宋体"/>
          <w:sz w:val="21"/>
        </w:rPr>
        <w:t>建议在详设阶段替换为正式接线图后的"as-built"版本,做端口级校对,尤其是惯导、总用泵、副驾控台面板三处标注为"待确认"的连接关系。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5. </w:t>
      </w:r>
      <w:r>
        <w:rPr>
          <w:rFonts w:ascii="宋体" w:hAnsi="宋体" w:eastAsia="宋体"/>
          <w:b/>
          <w:color w:val="1F3864"/>
          <w:sz w:val="21"/>
        </w:rPr>
        <w:t>第十、十一章为可选建议项</w:t>
      </w:r>
      <w:r>
        <w:rPr>
          <w:rFonts w:ascii="宋体" w:hAnsi="宋体" w:eastAsia="宋体"/>
          <w:sz w:val="21"/>
        </w:rPr>
        <w:t>,是否实施需与客户确认预算与范围,不应默认计入本期报价。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6. </w:t>
      </w:r>
      <w:r>
        <w:rPr>
          <w:rFonts w:ascii="宋体" w:hAnsi="宋体" w:eastAsia="宋体"/>
          <w:b/>
          <w:color w:val="1F3864"/>
          <w:sz w:val="21"/>
        </w:rPr>
        <w:t>完整对标依据</w:t>
      </w:r>
      <w:r>
        <w:rPr>
          <w:rFonts w:ascii="宋体" w:hAnsi="宋体" w:eastAsia="宋体"/>
          <w:sz w:val="21"/>
        </w:rPr>
        <w:t>见同目录《智航对标-差异化分析.md》,该文档保留了逐维度对比的完整推理过程,本章仅为结论摘要。</w:t>
      </w:r>
    </w:p>
    <w:p>
      <w:pPr>
        <w:spacing w:after="120" w:line="300" w:lineRule="auto"/>
        <w:jc w:val="both"/>
      </w:pPr>
      <w:r>
        <w:rPr>
          <w:rFonts w:ascii="宋体" w:hAnsi="宋体" w:eastAsia="宋体"/>
          <w:sz w:val="21"/>
        </w:rPr>
        <w:t xml:space="preserve">7. </w:t>
      </w:r>
      <w:r>
        <w:rPr>
          <w:rFonts w:ascii="宋体" w:hAnsi="宋体" w:eastAsia="宋体"/>
          <w:b/>
          <w:color w:val="1F3864"/>
          <w:sz w:val="21"/>
        </w:rPr>
        <w:t>执行落地</w:t>
      </w:r>
      <w:r>
        <w:rPr>
          <w:rFonts w:ascii="宋体" w:hAnsi="宋体" w:eastAsia="宋体"/>
          <w:sz w:val="21"/>
        </w:rPr>
        <w:t>见同目录《项目任务清单.md》——本方案全部待定项、失效场景、FAT/HAT/SAT 验收项与可选建议项已展开为 61 条带责任方/前置依赖/关键路径标注的任务(8 阶段 + 贯穿性 PM 任务),按周例会逐条核销即可驱动交付。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595959"/>
        <w:sz w:val="18"/>
      </w:rPr>
      <w:t xml:space="preserve">武汉东湖智能游艇示范项目 · 驾控台及智控系统技术方案(V2 对标升级版)　|　第 </w:t>
    </w:r>
    <w:r>
      <w:rPr>
        <w:rFonts w:ascii="Calibri" w:hAnsi="Calibri" w:eastAsia="Calibri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A0A0A0"/>
        <w:sz w:val="17"/>
      </w:rPr>
      <w:t>内部技术架构文档 · V2.0 对标升级版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