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驾控台及智控系统技术方案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驾控台及智控系统 · 整体架构与实施技术方案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无疆(武汉)技术有限公司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船型配置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1 条船 · 2×40kW 吊舱推进 · 357kWh 电池(2 仓) · 双驾控台(驾驶室+飞桥)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依据材料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①驾控台及智控系统技术协议 V1.0(20260605)②驾控台相关电气配盘和设备接线说明 V1.1(20260605)③无疆外装设备安装示意图(20260608)④驾控台相关接线定义清单(Excel,20260604)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内部技术架构与实施方案(工程/详设向)。如需转成对外投标叙事版本,可再交由 🏹 Proposal Strategist 按招式16"决策问题弧"重组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V1.0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一、项目概述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一句话定位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一套</w:t>
      </w:r>
      <w:r>
        <w:rPr>
          <w:rFonts w:ascii="宋体" w:hAnsi="宋体" w:eastAsia="宋体"/>
          <w:b/>
          <w:i/>
          <w:color w:val="595959"/>
          <w:sz w:val="20"/>
        </w:rPr>
        <w:t>双驾控台(主/副对等冗余) + 双 VCU 权限仲裁 + 8 类采控单元 + 四总线骨架</w:t>
      </w:r>
      <w:r>
        <w:rPr>
          <w:rFonts w:ascii="宋体" w:hAnsi="宋体" w:eastAsia="宋体"/>
          <w:i/>
          <w:color w:val="595959"/>
          <w:sz w:val="20"/>
        </w:rPr>
        <w:t>的智能游艇驾驶舱,把推进/电池/导航/视频/报警/应急六大船载子系统汇聚到双屏,支持</w:t>
      </w:r>
      <w:r>
        <w:rPr>
          <w:rFonts w:ascii="宋体" w:hAnsi="宋体" w:eastAsia="宋体"/>
          <w:b/>
          <w:i/>
          <w:color w:val="595959"/>
          <w:sz w:val="20"/>
        </w:rPr>
        <w:t>手动/智控双模、主/副台双站、电子/物理双通道、供电/急停双冗余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船型与配置速记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× 吊舱推进器,单台 40kW,回转角 0–330°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357kWh,2 个电池仓(左/右)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日用电源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DC24V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驾控台数量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个:主驾控台(驾驶室,室内) + 副驾控台(飞桥,室外)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手柄:CAN + 模拟量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硬接线,不经 VCU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电池/推进通信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淡水箱×1(模拟量)、黑水箱×2(模拟量)、舱底水高位×6(开关量)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报警设备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消防设备报警板、可燃气体报警板、通用报警板(均有)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1.3 供货范围总览(协议§1.2)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数量/说明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 + 控制接线板 + 电气设备及安装附件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 3 套(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含义待确认</w:t>
            </w:r>
            <w:r>
              <w:rPr>
                <w:rFonts w:ascii="宋体" w:hAnsi="宋体" w:eastAsia="宋体"/>
                <w:sz w:val="19"/>
              </w:rPr>
              <w:t>,见第八章)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智控系统·动力与转向控制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推进电机控制/状态、转舵控制/角度获取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套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智控系统·电池监测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电池域/簇/包参数采集、监控诊断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智控系统·报警和数据采集与通信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淡黑水液位、舱底水高位、报警器通信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智控系统·综合显示与报警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指点航行、轨迹航行、紧急避停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智控系统·导航集成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雷达、惯导、时间/经纬度/航速/航向/横纵摇、深度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智控系统·声呐系统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动态声呐探头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低速避障雷达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智控系统·视频监控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前后左右广角+电池仓摄像头+NVR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 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智控系统·音频系统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 + 语音喇叭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只(可扩展)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智控系统·4G/5G 云端通信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船岸数据交互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 路由器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智控系统·急停开关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两常闭+带保护盖,多点串联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二、总体架构:主/副驾控台双中枢拓扑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2.1 架构设计要点(核心发现)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细读框图第 2 页"副驾控台相关电气配盘"后确认三个关键架构特征,这是理解整套系统的前提: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双 VCU,而非单中枢</w:t>
      </w:r>
      <w:r>
        <w:rPr>
          <w:rFonts w:ascii="宋体" w:hAnsi="宋体" w:eastAsia="宋体"/>
          <w:sz w:val="21"/>
        </w:rPr>
        <w:t>:主驾控台内有 VCU-主(712),副驾控台(飞桥)</w:t>
      </w:r>
      <w:r>
        <w:rPr>
          <w:rFonts w:ascii="宋体" w:hAnsi="宋体" w:eastAsia="宋体"/>
          <w:b/>
          <w:color w:val="1F3864"/>
          <w:sz w:val="21"/>
        </w:rPr>
        <w:t>同样配置一套独立的 VCU-副(712) + DC/DC 转换模块(24→12) + 8 位 DC12V 保险汇流排 + 一键急停旋钮</w:t>
      </w:r>
      <w:r>
        <w:rPr>
          <w:rFonts w:ascii="宋体" w:hAnsi="宋体" w:eastAsia="宋体"/>
          <w:sz w:val="21"/>
        </w:rPr>
        <w:t>。两台 VCU 通过 CAN 互联做权限仲裁,而不是所有信号都汇总到唯一中枢。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副驾控台是"级联简配"而非"独立全配"</w:t>
      </w:r>
      <w:r>
        <w:rPr>
          <w:rFonts w:ascii="宋体" w:hAnsi="宋体" w:eastAsia="宋体"/>
          <w:sz w:val="21"/>
        </w:rPr>
        <w:t>:副驾控台</w:t>
      </w:r>
      <w:r>
        <w:rPr>
          <w:rFonts w:ascii="宋体" w:hAnsi="宋体" w:eastAsia="宋体"/>
          <w:b/>
          <w:color w:val="1F3864"/>
          <w:sz w:val="21"/>
        </w:rPr>
        <w:t>没有</w:t>
      </w:r>
      <w:r>
        <w:rPr>
          <w:rFonts w:ascii="宋体" w:hAnsi="宋体" w:eastAsia="宋体"/>
          <w:sz w:val="21"/>
        </w:rPr>
        <w:t>协议转换盒、交换机、按键/电源采集单元等采控单元,其双屏数据来自主驾控台</w:t>
      </w:r>
      <w:r>
        <w:rPr>
          <w:rFonts w:ascii="宋体" w:hAnsi="宋体" w:eastAsia="宋体"/>
          <w:b/>
          <w:color w:val="1F3864"/>
          <w:sz w:val="21"/>
        </w:rPr>
        <w:t>级联</w:t>
      </w:r>
      <w:r>
        <w:rPr>
          <w:rFonts w:ascii="宋体" w:hAnsi="宋体" w:eastAsia="宋体"/>
          <w:sz w:val="21"/>
        </w:rPr>
        <w:t>——1 根 CAN 网线级联双屏数据、1 根 6 类 RJ45 网线级联摄像头/交换机数据(Excel"驾控台相关接线(副)"第 1–2 行)。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控制通道与安全通道物理分离</w:t>
      </w:r>
      <w:r>
        <w:rPr>
          <w:rFonts w:ascii="宋体" w:hAnsi="宋体" w:eastAsia="宋体"/>
          <w:sz w:val="21"/>
        </w:rPr>
        <w:t>:凡是"启停/故障/复位"类操作信号经 VCU 走 CAN;凡是"急停/电池急停/电源启停"类安全信号</w:t>
      </w:r>
      <w:r>
        <w:rPr>
          <w:rFonts w:ascii="宋体" w:hAnsi="宋体" w:eastAsia="宋体"/>
          <w:b/>
          <w:color w:val="1F3864"/>
          <w:sz w:val="21"/>
        </w:rPr>
        <w:t>硬接线直连</w:t>
      </w:r>
      <w:r>
        <w:rPr>
          <w:rFonts w:ascii="宋体" w:hAnsi="宋体" w:eastAsia="宋体"/>
          <w:sz w:val="21"/>
        </w:rPr>
        <w:t>,不经 VCU、不经计算单元(Excel 逐条标注"是否经过驾控台内 VCU")。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2.2 分层拓扑图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8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1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主 / 副驾控台双中枢分层拓扑图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2.3 主 / 副驾控台配置差异对照表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主驾控台(驾驶室)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副驾控台(飞桥)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按键面板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完整(电源/推进/急停/复位/消音/SOC/主副权限切换)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精简版,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表述存疑</w:t>
            </w:r>
            <w:r>
              <w:rPr>
                <w:rFonts w:ascii="宋体" w:hAnsi="宋体" w:eastAsia="宋体"/>
                <w:sz w:val="19"/>
              </w:rPr>
              <w:t>(见§8)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VCU(712)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(独立一套,经 CAN 与主台仲裁)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协议转换盒/采集单元/串口解析/交换机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无</w:t>
            </w:r>
            <w:r>
              <w:rPr>
                <w:rFonts w:ascii="宋体" w:hAnsi="宋体" w:eastAsia="宋体"/>
                <w:sz w:val="19"/>
              </w:rPr>
              <w:t>,数据经主台级联而来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有(级联主台数据)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音频功放+喇叭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有(独立一套)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一键急停旋钮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有(与主台串联进整体急停回路)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供电模块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 AC220+DC24 完整链路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DC/DC(24→12)+8位DC12汇流排(简配)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推进手柄/电子方向机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权限切换硬约束(Excel + 框图一致):</w:t>
      </w:r>
      <w:r>
        <w:rPr>
          <w:rFonts w:ascii="宋体" w:hAnsi="宋体" w:eastAsia="宋体"/>
          <w:b/>
          <w:i/>
          <w:color w:val="595959"/>
          <w:sz w:val="20"/>
        </w:rPr>
        <w:t>主副驾驶权限切换前,两个驾控台手柄必须回空挡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三、信号与数据流架构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3.1 四类总线一览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总线/介质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典型信号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是否经 VCU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CAN(智控CAN/控制CAN/操控CAN)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推进转速、转向角度、智控指令、手柄/方向机操控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实时闭环控制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是(常规操作)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以太网(RJ45,百兆/千兆)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直流板、电池、摄像头、声呐、4G路由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大带宽数据/视频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否(旁路,直连交换机→屏)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RS485/RS232/模拟量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惯导、通用/火灾报警器、七氟丙烷复视器、液位、4-20mA转速反馈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状态采集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否(经专用采集单元→屏)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急停、电池急停、电源启停、故障灯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安全关键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否,物理旁路 VCU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3.2 按总线域拆分的数据流图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909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2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2　按总线域拆分的信号数据流图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四、三条关键设计主线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4.1 有人驾驶 ⇄ 智控自主 切换(吊舱方案,本船适用)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08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3-h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8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3　有人驾驶 ⇄ 智控自主 模式切换状态图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切换方式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控制盒按钮,屏显 INT(手柄)/EXT(智控)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手柄经 CAN 与智控系统通信,做模式/功能切换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切入前置条件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推进转速归零 + 吊舱自动垂直归位(初始位置)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待标定参数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 0–330° 与满舵方向盘圈数的映射关系,需联调阶段标定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退出条件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材料未明确</w:t>
            </w:r>
            <w:r>
              <w:rPr>
                <w:rFonts w:ascii="宋体" w:hAnsi="宋体" w:eastAsia="宋体"/>
                <w:sz w:val="19"/>
              </w:rPr>
              <w:t>,列入第八章待确认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备选架构(非本船)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材料同时给出"螺旋桨方案":驾控台增设智控/有人旋钮,两路信号分别到 1#/2# 推进控制箱并做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信号隔离</w:t>
            </w:r>
            <w:r>
              <w:rPr>
                <w:rFonts w:ascii="宋体" w:hAnsi="宋体" w:eastAsia="宋体"/>
                <w:sz w:val="19"/>
              </w:rPr>
              <w:t>,增加两路 4-20mA 转速反馈采集;退出人工前不要求转速为 0。仅供其它船型参考,本船以吊舱方案为准。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4.2 双驾控台站点权限切换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02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4-h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4　主 / 副驾控台站点权限切换状态图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4.3 安全冗余设计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冗余维度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多点硬接线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,任一急停触发即整体推进急停;两对常闭触点分别隔离 1#/2# 推进;主/副驾控台急停旋钮+甲板扩展急停(1–2 路)全部串联,示意图见协议图"急停串联接线-2路/3路"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必须支持双路供电</w:t>
            </w:r>
            <w:r>
              <w:rPr>
                <w:rFonts w:ascii="宋体" w:hAnsi="宋体" w:eastAsia="宋体"/>
                <w:sz w:val="19"/>
              </w:rPr>
              <w:t>(DC24V + AC220V);导轨开关电源(AC220→DC24 主电源)+ DCDC 隔离稳压(DC24→DC24 电源隔离)+ 二极管模块(双路转单路)+ 独立应急电源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操舵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配备应急舵,偏航/转舵失效时人员可随时接管操舵机构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控制/安全通道解耦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启停/故障/复位等常规操作经 VCU→CAN;急停/电池急停/电源启停等安全信号硬接线直连,不经 VCU、不经计算单元 —— 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能停船的都是硬线,能优化操作的才上 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环境适应性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采控单元普遍满足 IP67、-30~70℃工作温度、GJB150.16A 振动、GJB150.11 盐雾;显控屏 IP66;驾控台台体 IP44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五、设备-总线-单元全链路追溯矩阵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按协议 §2.2.1–2.2.11 的子系统划分,标注"现场设备 → 接口 → 汇入单元 → 是否经VCU → 上屏"及来源,便于详设阶段逐条核对。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 动力与转向控制系统(协议§2.2.1)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推进手柄(0-330°/4-20mA)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CAN+模拟量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电子方向机/操控盒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框图P1注3-4;协议§2.2.1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智控系统指令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框图P1;13f9d820 P9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1#/2#推进启停/故障/复位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CAN航插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VCU→协议转换盒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Excel712#9-16,29-36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Excel712#11-12,31-32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驾控台/扩展一键急停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硬接线串联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Excel712#47-54;13f9d820 P6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5.2 电池监测系统(协议§2.2.2)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1#/2#电源启停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Excel712#1-4,21-24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Excel712#3-4,23-24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1#/2#电源AC220V/DC24V失电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Excel712#17-20,37-40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1#/2#电池SOC低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硬接线信号灯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Excel712#43-46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左/右电池控制箱数据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LAN3/LAN4;协议§2.2.2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左/右直流板数据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LAN1/LAN2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5.3 报警和数据采集与通信单元(协议§2.2.3)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Excel船体#27-28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1#/2#黑水箱液位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Excel船体#29-32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舱底水高位×6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开关量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Excel船体#33-44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Excel船体#5-6,11-12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Excel船体#21-22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火灾报警器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七氟丙烷复视器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Excel船体#25-26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电池仓风机启/停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无源开关输出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Excel船体#1-4,7-10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总用泵启/停/运行状态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待定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数字量控制单元/报警数据采集单元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Excel船体#13-18(标注"若有")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5.4 综合显示与报警单元(协议§2.2.4)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15.6寸综合显控屏×2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协议P10-11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协议P8-9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协议P11-12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左/右屏端口归属(框图P3明确)</w:t>
      </w:r>
      <w:r>
        <w:rPr>
          <w:rFonts w:ascii="宋体" w:hAnsi="宋体" w:eastAsia="宋体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左屏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右屏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摄像头+声呐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CAN网集线器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惯导落在哪个具体 CAN/串口口,材料未到端口级,见第八章待确认。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5.5 导航集成单元(协议§2.2.5)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定向精度0.2°(1m基线),俯仰/横滚0.1°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惯导天线×2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TNC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间距&gt;1.2m(协议)/1.5m(安装图),船顶开阔区域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协议P12;13f9d820 P2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5.6 声呐系统(协议§2.2.6)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以太网/HDMI/WiFi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135°成像,最大深度60m,DC10-18V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5.7 毫米波雷达(协议§2.2.7)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探测40m,水平±60°,IP67,船首内嵌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5.8 视频监控系统(协议§2.2.8)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安装位置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广角摄像头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DH-IPC-PFW4849-A180-E2-AST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船体外部前后左右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DH-IPC-HFW1433M3-A-IL4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监控边缘计算盒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16路智能分析盒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5.9 音频系统(协议§2.2.9)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支持USB,30个预存电台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语音喇叭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白色蓝灯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2(可扩展至4,协议注7)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5.10 4G/5G云端通信(协议§2.2.10)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3百兆口+双LTE天线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协议P15-16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5.11 急停开关(协议§2.2.11)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型号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M22,两常闭+船型保护盖,红色蘑菇头40mm,开孔∅22mm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隔离方式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两对常闭触点分别对应1#/2#推进急停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接线原则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多点必须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,任一路触发即整体推进急停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六、采控与关键设备技术规格速查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单元/设备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电压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防护等级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核心功能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消音、电源失电、主备电失电采集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吊舱推进转向CAN控制、智控状态采集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液位、舱底水、风机状态采集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通用/火灾报警器、七氟丙烷复视器接入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综合显控屏(左/右)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≤30W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全船状态显示、航行控制、权限切换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直流板×2+电池×2汇聚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视频+声呐+4G汇聚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双天线定向、姿态、定位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DC10-18V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LAN/HDMI/WiFi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水下135°成像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12-24V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&lt;3.5W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40m避障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视频存储回放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提示音/广播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&lt;8W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3×百兆口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船岸云端交互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急停开关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两常闭触点推进急停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七、关键约束 Checklist(协议§1.3–1.6, 2.1)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CCS《船舶应用电池动力规范》(2023)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满足《内河小型船舶检验技术规则》(2024)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CCS《材料与焊接规范》(2023)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环境:海水 -2~+32℃,环境 -25~+45℃,湿度≤95%,气压100kPa,水流≤4.5m/s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姿态适应:横倾±15°,纵倾±7.5°,并耐受正常运行振动冲击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电制:直流24V双线绝缘,交流220V/50Hz单相双线绝缘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主电路色标:交流A/B/C=绿/黄/棕;直流正/负/地=红/蓝/黄绿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电缆:低烟无卤,芯线最小1.5mm²,载流量按85℃工作温度选取,通讯/模拟量线用双绞屏蔽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EMC按GB/T 10250-2007,参考IEC 60533/IEC 60945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驾控台:碳纤维复合材质,白色+金色,IP44,抗压强度55MPa,底部螺栓固定,前盖板可拆卸检修口,底部开孔进线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外形尺寸(含底座)约1000×1200×500mm,以认可图为准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全设备中文界面、中文铭牌(进口设备除外)、中文技术文件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电气控制箱随箱附原理图(塑封或铜板)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八、待定项与风险登记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对应招式10"开放项闭环"——摊开比藏着更显专业可控。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A · 待定项(未决事项)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待定项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建议闭环方式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是否影响关键路径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副驾控台"控制面板"设备清单 与 注释"副驾控台不带按键面板"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表述矛盾</w:t>
            </w:r>
            <w:r>
              <w:rPr>
                <w:rFonts w:ascii="宋体" w:hAnsi="宋体" w:eastAsia="宋体"/>
                <w:sz w:val="19"/>
              </w:rPr>
              <w:t>(框图P2)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材料内部矛盾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与设计方澄清:副台是否仅含急停/消音等精简按键,还是命名重叠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智控→手动的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材料未注明(吊舱方案仅写了进入条件)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待客户/设计确认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联调阶段与甲方确认退出条件是否需要转速归零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控制接线板"3套"、动力与转向控制系统"3套"的数量构成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确认是否含主台+副台+机舱柜内接线板,或含备件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ICC/IGS 系列采集单元的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上行总线介质</w:t>
            </w:r>
            <w:r>
              <w:rPr>
                <w:rFonts w:ascii="宋体" w:hAnsi="宋体" w:eastAsia="宋体"/>
                <w:sz w:val="19"/>
              </w:rPr>
              <w:t>(CAN或以太网/Modbus TCP)未逐一标注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待设计澄清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Excel电池相关行出现"Modbus TCP"字样但未指明挂载单元,需在正式接线图明确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推进手柄、电子方向机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是否需要独立供电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框图P4明确写"待确认"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电气详设阶段确认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惯导馈线长度(标准10m)、雷达通信线长度(标准4m)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按实际船体布局测量确认,超长部分由无疆按需另行提供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动态声呐安装位置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"根据实际需求,进行沟通确认"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现场踏勘后确定安装支架方案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吊舱0-330°回转角 与 满舵方向盘圈数的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映射关系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智控参数待标定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联调阶段实测标定,写入智控角度闭环参数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总用泵启停/运行状态、舵角传感器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Excel标注"若有""预留"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确认本船是否配置,若无则删减对应端子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显控屏端口级信号分配(如惯导落在左/右屏哪路CAN/串口)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材料仅到功能级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正式接线图阶段明确端口分配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出厂试验项目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仅列2项</w:t>
            </w:r>
            <w:r>
              <w:rPr>
                <w:rFonts w:ascii="宋体" w:hAnsi="宋体" w:eastAsia="宋体"/>
                <w:sz w:val="19"/>
              </w:rPr>
              <w:t>(外观检查、电气性能检查),且标记"△"含义未注明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验收颗粒度不足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见第九章"建议新增验收项"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B · 风险登记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可能性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应对措施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副驾控台按键面板范围理解偏差,导致现场安装/接线返工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详设前书面确认副台面板元器件清单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无疆+设计院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智控退出条件缺失,存在切回人工时推进器仍带速度/角度的安全隐患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联调前锁定退出条件并做安全测试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无疆+船厂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采集单元上行总线未明确,现场布线阶段临时变更CAN/以太网走线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提前出正式接线图并会签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验收标准过于笼统,交船前甲乙双方对"合格"标准产生争议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出厂前补充可量化验收大纲(见第九章)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双方共同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九、交付物与验收表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协议原文仅列"外观检查""电气性能检查"两项(§4.1),颗粒度不足以支撑交船验收。以下</w:t>
      </w:r>
      <w:r>
        <w:rPr>
          <w:rFonts w:ascii="宋体" w:hAnsi="宋体" w:eastAsia="宋体"/>
          <w:b/>
          <w:i/>
          <w:color w:val="595959"/>
          <w:sz w:val="20"/>
        </w:rPr>
        <w:t>在协议基础上按招式9细化</w:t>
      </w:r>
      <w:r>
        <w:rPr>
          <w:rFonts w:ascii="宋体" w:hAnsi="宋体" w:eastAsia="宋体"/>
          <w:i/>
          <w:color w:val="595959"/>
          <w:sz w:val="20"/>
        </w:rPr>
        <w:t>,标注"协议原文"与"建议新增"以示区分。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外观检查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台体无划伤变形,IP44防护达标,颜色/铭牌符合认可图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现场目视+防护等级测试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电气性能检查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各回路绝缘电阻、耐压、接地电阻符合CCS要求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AC220V/DC24V任一失电,系统在规定时间内无缝切至另一路,故障报警正确上屏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现场断电试验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急停多点串联测试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主台/副台/扩展急停任一触发,1#/2#推进在≤规定时间内停止,不经VCU仍生效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现场按压实测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智控/手动模式切换测试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满足切入条件后可正常切至EXT;退出条件按第八章#2确认后验证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双驾控台权限切换测试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手柄回空挡后可正常切换;未回空挡时切换应被拒绝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CAN总线通信稳定性测试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振动/温度环境下推进CAN、智控CAN、操控CAN无丢包/无误码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环境应力+通信抓包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报警与数采链路测试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淡黑水液位、舱底水高位、电池SOC低等信号触发后≤规定时延上屏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逐点模拟触发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视频/声呐/雷达功能测试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5路视频清晰可回放;声呐成像正常;雷达40m内目标正确预警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4G/5G船岸通信测试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船端数据可正常上云,岸端可实时获取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联网测试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产品合格证/出厂试验报告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交付前齐套提供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文件审核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协议原文§3.4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十、后续建议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本文档 → 投标/汇报叙事版本</w:t>
      </w:r>
      <w:r>
        <w:rPr>
          <w:rFonts w:ascii="宋体" w:hAnsi="宋体" w:eastAsia="宋体"/>
          <w:sz w:val="21"/>
        </w:rPr>
        <w:t>:如需向甲方决策层展示,建议交由 🏹 Proposal Strategist 按船舶标杆案例的"6章决策问题弧"重组(为什么现在需要 → 现状痛点 → 我们的答案 → 已验证能力 → 差异化 → 合作路径),本文档可直接作为其"04 我们的答案/技术架构"章节的素材源。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第八章待定项</w:t>
      </w:r>
      <w:r>
        <w:rPr>
          <w:rFonts w:ascii="宋体" w:hAnsi="宋体" w:eastAsia="宋体"/>
          <w:sz w:val="21"/>
        </w:rPr>
        <w:t xml:space="preserve">建议逐条指派责任方和闭环时间,套用 </w:t>
      </w:r>
      <w:r>
        <w:rPr>
          <w:rFonts w:ascii="Consolas" w:hAnsi="Consolas" w:eastAsia="微软雅黑"/>
          <w:color w:val="8A2BE2"/>
          <w:sz w:val="20"/>
        </w:rPr>
        <w:t>curriculum/模板库/待定项与风险登记.md</w:t>
      </w:r>
      <w:r>
        <w:rPr>
          <w:rFonts w:ascii="宋体" w:hAnsi="宋体" w:eastAsia="宋体"/>
          <w:sz w:val="21"/>
        </w:rPr>
        <w:t xml:space="preserve"> 模板正式建档,避免开工后成为扯皮点。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第九章验收表</w:t>
      </w:r>
      <w:r>
        <w:rPr>
          <w:rFonts w:ascii="宋体" w:hAnsi="宋体" w:eastAsia="宋体"/>
          <w:sz w:val="21"/>
        </w:rPr>
        <w:t>建议在出厂检试大纲中正式落地,与甲方书面会签,避免协议"△"标记含义不清导致交验争议。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4. </w:t>
      </w:r>
      <w:r>
        <w:rPr>
          <w:rFonts w:ascii="宋体" w:hAnsi="宋体" w:eastAsia="宋体"/>
          <w:b/>
          <w:color w:val="1F3864"/>
          <w:sz w:val="21"/>
        </w:rPr>
        <w:t>架构图(第二、三章)</w:t>
      </w:r>
      <w:r>
        <w:rPr>
          <w:rFonts w:ascii="宋体" w:hAnsi="宋体" w:eastAsia="宋体"/>
          <w:sz w:val="21"/>
        </w:rPr>
        <w:t>建议在详设阶段替换为正式接线图后的"as-built"版本,做端口级校对,尤其是惯导、总用泵、副驾控台面板三处标注为"待确认"的连接关系。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驾控台及智控系统技术方案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内部技术架构文档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