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1F3864" w:sz="4"/>
          <w:insideV w:val="single" w:color="1F3864" w:sz="4"/>
        </w:tblBorders>
      </w:tblPr>
      <w:tblGrid>
        <w:gridCol w:w="6000"/>
        <w:gridCol w:w="3600"/>
      </w:tblGrid>
      <w:tr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품질경영시스템 절차서</w:t>
            </w:r>
          </w:p>
          <w:p>
            <w:pPr>
              <w:spacing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34"/>
                <w:szCs w:val="34"/>
              </w:rPr>
              <w:t xml:space="preserve">부적합품 관리 규정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ISO 9001:2015 기반</w:t>
            </w:r>
          </w:p>
        </w:tc>
        <w:tc>
          <w:tcPr>
            <w:tcW w:type="dxa" w:w="360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3600"/>
              <w:tblBorders>
                <w:top w:val="none"/>
                <w:left w:val="none"/>
                <w:bottom w:val="none"/>
                <w:right w:val="none"/>
                <w:insideH w:val="single" w:color="BFBFBF" w:sz="2"/>
                <w:insideV w:val="single" w:color="BFBFBF" w:sz="2"/>
              </w:tblBorders>
            </w:tblPr>
            <w:tblGrid>
              <w:gridCol w:w="1500"/>
              <w:gridCol w:w="2100"/>
            </w:tblGrid>
            <w:tr>
              <w:tc>
                <w:tcPr>
                  <w:tcW w:type="dxa" w:w="1500"/>
                  <w:shd w:fill="F2F2F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문서번호</w:t>
                  </w:r>
                </w:p>
              </w:tc>
              <w:tc>
                <w:tcPr>
                  <w:tcW w:type="dxa" w:w="2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BR-QP-16</w:t>
                  </w:r>
                </w:p>
              </w:tc>
            </w:tr>
            <w:tr>
              <w:tc>
                <w:tcPr>
                  <w:tcW w:type="dxa" w:w="1500"/>
                  <w:shd w:fill="F2F2F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제 정 일</w:t>
                  </w:r>
                </w:p>
              </w:tc>
              <w:tc>
                <w:tcPr>
                  <w:tcW w:type="dxa" w:w="2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2026. 03. 09</w:t>
                  </w:r>
                </w:p>
              </w:tc>
            </w:tr>
            <w:tr>
              <w:tc>
                <w:tcPr>
                  <w:tcW w:type="dxa" w:w="1500"/>
                  <w:shd w:fill="F2F2F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개정번호</w:t>
                  </w:r>
                </w:p>
              </w:tc>
              <w:tc>
                <w:tcPr>
                  <w:tcW w:type="dxa" w:w="2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1500"/>
                  <w:shd w:fill="F2F2F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3864"/>
                      <w:sz w:val="16"/>
                      <w:szCs w:val="16"/>
                    </w:rPr>
                    <w:t xml:space="preserve">개 정 일</w:t>
                  </w:r>
                </w:p>
              </w:tc>
              <w:tc>
                <w:tcPr>
                  <w:tcW w:type="dxa" w:w="2100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2"/>
          <w:insideV w:val="single" w:color="808080" w:sz="2"/>
        </w:tblBorders>
      </w:tblPr>
      <w:tblGrid>
        <w:gridCol w:w="1600"/>
        <w:gridCol w:w="2666"/>
        <w:gridCol w:w="2667"/>
        <w:gridCol w:w="2667"/>
      </w:tblGrid>
      <w:tr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2666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작 성</w:t>
            </w:r>
          </w:p>
        </w:tc>
        <w:tc>
          <w:tcPr>
            <w:tcW w:type="dxa" w:w="2667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검 토</w:t>
            </w:r>
          </w:p>
        </w:tc>
        <w:tc>
          <w:tcPr>
            <w:tcW w:type="dxa" w:w="2667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승 인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 책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6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품질담당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6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품질책임자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0" w:before="6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대표이사</w:t>
            </w:r>
          </w:p>
        </w:tc>
      </w:tr>
    </w:tbl>
    <w:p>
      <w:pPr>
        <w:spacing w:after="60"/>
      </w:pPr>
    </w:p>
    <w:p>
      <w:pPr>
        <w:spacing w:after="60"/>
        <w:jc w:val="right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☑ 관리본(CONTROLLED COPY)    ☐ 비관리본(UNCONTROLLED COPY)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◈ 개정 이력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2"/>
          <w:insideV w:val="single" w:color="808080" w:sz="2"/>
        </w:tblBorders>
      </w:tblPr>
      <w:tblGrid>
        <w:gridCol w:w="1000"/>
        <w:gridCol w:w="4600"/>
        <w:gridCol w:w="1500"/>
        <w:gridCol w:w="2500"/>
      </w:tblGrid>
      <w:tr>
        <w:tc>
          <w:tcPr>
            <w:tcW w:type="dxa" w:w="1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개정번호</w:t>
            </w:r>
          </w:p>
        </w:tc>
        <w:tc>
          <w:tcPr>
            <w:tcW w:type="dxa" w:w="4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개정 조항 및 내용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개정일</w:t>
            </w:r>
          </w:p>
        </w:tc>
        <w:tc>
          <w:tcPr>
            <w:tcW w:type="dxa" w:w="2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제정 (ISO 9001:2015 기반 신규 제정)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2026.03.09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신규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적용범위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규정은 braumm(이하 "당사")에서 발생하는 부적합한 원·부자재, 반제품(공정품) 및 최종제품에 대한 식별, 격리, 검토, 처리 및 사후관리에 관한 사항을 규정한다.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목적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규정된 요건에 적합하지 않은 제품이 의도하지 않게 사용되거나 인도(출하)되는 것을 방지하고, 부적합의 재발 요인을 제거함으로써 제품 및 서비스의 품질을 지속적으로 향상시키는 데 그 목적이 있다.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용어의 정의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3.1 부적합품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규정된 요건에 미달하는 원·부자재부터 최종제품까지의 제품(이하 "제품"이라 한다)을 말한다.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3.2 시정조치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발견된 부적합의 원인을 제거하여 재발을 방지하기 위하여 취하는 조치를 말한다.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3.3 재작업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부적합품을 원래의 규정된 요건에 적합하도록 다시 가공·처리하는 행위를 말한다.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3.4 수리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부적합품을 원래의 규정된 요건에는 미치지 못하나 의도된 용도에 사용할 수 있도록 처리하는 행위를 말한다.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3.5 특채(특별채택)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규정된 요건에 적합하지 않으나 권한을 가진 자의 승인을 받아 사용 또는 인도하는 것을 말한다.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3.6 폐기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부적합품을 본래의 용도로 사용할 수 없도록 처리하는 행위를 말한다.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책임과 권한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부적합품의 식별, 격리, 문서화된 처리를 위한 평가 및 사후관리에 대한 최종 책임은 대표이사에게 있으며, 실무는 다음과 같이 위임한다.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4.1 대표이사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부적합품의 특채 및 폐기 승인, 시정조치 결과의 최종 확인에 대한 책임과 권한을 가진다.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4.2 품질책임자 (품질경영대리인)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4.2.1 부적합품의 검토, 처리방안 결정 및 처리결과 확인에 대한 책임과 권한을 가진다.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4.2.2 검사(수입·공정·최종) 결과에 따른 부적합품의 식별·격리·문서화 처리를 검토·확인하고, 필요시 관련 부서와 협의한다.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4.2.3 부적합품 관리업무 전반을 감독하며, 관련 부서 또는 협력업체에 시정조치를 요구하고 그 결과를 확인할 책임과 권한을 가진다.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4.3 각 부서장(팀장)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4.3.1 업무 수행 중 발생하는 부적합 자재·공정품·제품을 식별·격리하고 그 사항을 품질책임자 및 대표이사에게 보고하며, 시정조치와 사후관리를 수행할 책임이 있다.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4.3.2 부적합 현황 및 시정조치 요구서를 접수한 부서장은 조치계획을 수립·해결하고, 부적합품의 식별표시 관리 및 처리결과를 보고한다.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부적합품의 식별 및 격리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5.1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부적합품은 적절한 방법으로 식별·표시하여, 처리방안이 결정될 때까지 사용(공정 투입)되거나 인도되지 않도록 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5.2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검사자는 불합격 판정된 자재 또는 제품을 "부적합(불합격)" 라벨·태그 또는 별도 지정구역(적색 구역 등)으로 식별하여 후속 공정에 불출되지 않도록 구분·적치한다.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5.3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크기·중량 또는 접근장애 등 물리적 조건으로 격리가 불가능하거나 부적절한 경우에는 "부적합" 마킹·태그 등으로 명확히 식별한다.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부적합품의 문서화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6.1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부적합품이 발생·발견된 경우 해당 부서장은 그 수량과 내용을 「부적합품 보고서(BR-QF-16-01)」 또는 작업일지에 기록한다.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6.2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부적합품의 처리방안은 재작업, 수리, 선별, 특채, 폐기로 구분하며, 상황에 따라 적절한 방법을 선택하여 조치한다.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업무절차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7.1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공정 중 발견된 부적합 사항은 처리방안을 마련하기 위하여 관련 기술능력을 보유한 부서에 의해 검토되어야 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7.2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재작업 또는 수리를 실시한 부적합품은 「제품의 모니터링 및 측정 규정」에 따라 반드시 재검사를 실시한다.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7.3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부적합품을 용도 변경할 경우 지정된 보관구역에 식별하여 사용하고, 처리의 적절성을 확인하며, 사용이 불가능한 경우 폐기 또는 반품 조치한다.</w:t>
      </w:r>
    </w:p>
    <w:p>
      <w:pPr>
        <w:spacing w:after="60" w:line="276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7.4 부적합의 종류</w:t>
      </w:r>
    </w:p>
    <w:p>
      <w:pPr>
        <w:spacing w:after="60" w:line="276"/>
        <w:ind w:left="720" w:hanging="2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고객 불만사항(CLAIM)</w:t>
      </w:r>
    </w:p>
    <w:p>
      <w:pPr>
        <w:spacing w:after="60" w:line="276"/>
        <w:ind w:left="720" w:hanging="2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내부심사 및 경영검토 시 지적되는 부적합 사항</w:t>
      </w:r>
    </w:p>
    <w:p>
      <w:pPr>
        <w:spacing w:after="60" w:line="276"/>
        <w:ind w:left="720" w:hanging="2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수입검사·공정검사·최종검사에서 발견되는 부적합품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7.5 고객 불만사항(CLAIM)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고객 불만의 접수 및 처리는 「고객 만족 및 의사소통 규정」에 따라 처리한다.</w:t>
      </w:r>
    </w:p>
    <w:p>
      <w:pPr>
        <w:spacing w:after="90" w:line="276"/>
        <w:ind w:left="360" w:hanging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7.6 수입·최종검사 시 부적합품 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검사 담당자가 6.1항에 따라 작성·기록하고 품질책임자에게 통보한다.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7.7 공정 중 발생하는 부적합품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7.7.1 부적합품의 기준: 각 공정의 부적합 기준은 QC공정도, 검사기준서 및 작업표준서에 따른다.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7.7.2 부적합 발생 시 조치: 공정 담당자 또는 검사원은 부적합품 발견 시 해당 작업을 중지하고 부서장에게 보고하며, 24시간 이내에 조치한다.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7.7.3 수리 불가능한 공정 부적합품 및 장기 보관으로 인한 부적합품은 매월 별도 기안하여 대표이사의 승인을 받아 폐기 처리한다.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7.8 특채(특별채택)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규정된 요건에 미달하나 사용이 가능하다고 판단되는 경우, 「특채 승인서(BR-QF-16-03)」를 작성하여 대표이사(또는 고객)의 승인을 받은 후 사용 또는 인도할 수 있다.</w:t>
      </w:r>
    </w:p>
    <w:p>
      <w:pPr>
        <w:spacing w:after="90" w:line="276"/>
        <w:ind w:left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7.9 시정조치</w:t>
      </w:r>
    </w:p>
    <w:p>
      <w:pPr>
        <w:spacing w:after="90" w:line="276"/>
        <w:ind w:left="72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반복적·중대한 부적합에 대해서는 「시정조치 요구서(BR-QF-16-02)」를 발행하여 원인 분석 및 재발방지 대책을 수립하고, 그 유효성을 확인한다.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8. 관련기록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2"/>
          <w:insideV w:val="single" w:color="808080" w:sz="2"/>
        </w:tblBorders>
      </w:tblPr>
      <w:tblGrid>
        <w:gridCol w:w="4200"/>
        <w:gridCol w:w="3000"/>
        <w:gridCol w:w="2400"/>
      </w:tblGrid>
      <w:tr>
        <w:tc>
          <w:tcPr>
            <w:tcW w:type="dxa" w:w="4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서식명</w:t>
            </w:r>
          </w:p>
        </w:tc>
        <w:tc>
          <w:tcPr>
            <w:tcW w:type="dxa" w:w="3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서식번호</w:t>
            </w:r>
          </w:p>
        </w:tc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보존기간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부적합품 보고서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BR-QF-16-01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3년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시정조치 요구서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BR-QF-16-02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3년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특채(특별채택) 승인서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BR-QF-16-03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3년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jc w:val="center"/>
    </w:pPr>
    <w:r>
      <w:rPr>
        <w:rFonts w:ascii="맑은 고딕" w:cs="맑은 고딕" w:eastAsia="맑은 고딕" w:hAnsi="맑은 고딕"/>
        <w:color w:val="808080"/>
        <w:sz w:val="15"/>
        <w:szCs w:val="15"/>
      </w:rPr>
      <w:t xml:space="preserve">문서번호: BR-QP-16    |    </w:t>
    </w:r>
    <w:r>
      <w:rPr>
        <w:rFonts w:ascii="맑은 고딕" w:cs="맑은 고딕" w:eastAsia="맑은 고딕" w:hAnsi="맑은 고딕"/>
        <w:color w:val="8080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5"/>
        <w:szCs w:val="15"/>
      </w:rPr>
      <w:t xml:space="preserve">    |    본 문서는 braumm의 자산이며 무단 복제·배포를 금함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600"/>
      </w:tabs>
    </w:pPr>
    <w:r>
      <w:rPr>
        <w:rFonts w:ascii="맑은 고딕" w:cs="맑은 고딕" w:eastAsia="맑은 고딕" w:hAnsi="맑은 고딕"/>
        <w:b/>
        <w:bCs/>
        <w:color w:val="1F3864"/>
        <w:sz w:val="18"/>
        <w:szCs w:val="18"/>
      </w:rPr>
      <w:t xml:space="preserve">braumm</w:t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	부적합품 관리 규정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부적합품 관리 규정 (BR-QP-16)</dc:title>
  <dc:creator>braumm</dc:creator>
  <dc:description>braumm Quality Management System Procedure - Control of Nonconforming Product</dc:description>
  <cp:lastModifiedBy>Un-named</cp:lastModifiedBy>
  <cp:revision>1</cp:revision>
  <dcterms:created xsi:type="dcterms:W3CDTF">2026-08-07T02:12:50.611Z</dcterms:created>
  <dcterms:modified xsi:type="dcterms:W3CDTF">2026-08-07T02:12:50.612Z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