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50"/>
        </w:rPr>
        <w:t>Rosbot Active View Design</w:t>
      </w:r>
    </w:p>
    <w:p>
      <w:pPr>
        <w:spacing w:after="160"/>
      </w:pPr>
      <w:r>
        <w:rPr>
          <w:b/>
          <w:sz w:val="26"/>
        </w:rPr>
        <w:t>Body Orientation Conditioned Four to Two View Selection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This document specifies an offline training design for a mobile Rosbot using four low-height ETRI views. The robot records a stable first view A. A candidate generator builds four reachable target poses around the person; a masked DDQN selects one discrete index a ∈ {0,1,2,3}, which looks up the current candidate table and returns (x_a, y_a, yaw_a). VPOCLIP remains frozen and fuses the two views at class-score level.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026920"/>
            <wp:docPr id="1" name="Picture 1" title="Four to two active view workflow" descr="Rosbot detects a person, observes A, estimates body orientation, selects B with a masked Q policy, and fuses the two class sco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Design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First view 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The first stable recognition position after approach; record person distance 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Relative frame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Person at the origin; body heading ψ defines the reference frame; R is the target distance.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DQN action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Discrete index a ∈ {0,1,2,3}; selects one row of the current candidate 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Second view B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The candidate row selected by a; its target pose is resolved from the current person/map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Output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Fuse A and B scores and return the class with the largest fused score.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1 Geometry and View Mapping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Let the person position be p_h=(x_h,y_h), body heading be θ_h, and A the first stable view. Estimate θ_h from the skeleton. For candidate i, with distance r_i and body-relative angle α_i, generate the target position by x_i = x_h + r_i cos(θ_h + α_i), y_i = y_h + r_i sin(θ_h + α_i); set yaw_i to face the person.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434840" cy="2838298"/>
            <wp:docPr id="2" name="Picture 2" title="Body oriented circular motion" descr="Current view A and dynamically generated candidate poses around the per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838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6473"/>
            <wp:docPr id="3" name="Picture 3" title="Relative angle" descr="Relative angle a is the robot bearing from the person minus body hea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ve_angle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494527"/>
            <wp:docPr id="4" name="Picture 4" title="Candidate target position" descr="Candidate target B is generated from the current person/map state and selected by its table inde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position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45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77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p, ψ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Person position and body heading in the ground plane.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A, R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First stable view and distance from A to the person; R is the arc radius.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a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Current relative angle: robot bearing minus ψ, wrapped to [−π, π].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k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Candidate-table index; target pose is read as (x_a,y_a,yaw_a).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Vepisode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Four candidate view slots; their actual bearings may vary by sample or scene.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The four candidate rows are generated from the current person/map state. The slot rules may use nominal α_i values, but obstacle, collision and reachability checks can change the final pose. Invalid rows are masked before action selection.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2 State Action and Transition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2.1 State 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State component</w:t>
            </w:r>
          </w:p>
        </w:tc>
        <w:tc>
          <w:tcPr>
            <w:tcW w:type="dxa" w:w="74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Variables and purpose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Visual and quality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zA, class scores, Top-K similarities, entropy HA and margin; evidence and uncertainty at 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Skeleton and objects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joint coordinates/confidence/visibility; object class, confidence and relative position.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Body geometry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sinθ_h, cosθ_h, yaw confidence; candidate bearings, distances, reachability and movement cost.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Action constraints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candidate index a, target pose table, reachability, collision, movement cost, support and selected masks.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2.2 Action and Mask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The network outputs Q(s,a) for a ∈ {0,1,2,3}. Mask invalid or already selected rows, choose the highest-Q valid index, then read (x_a,y_a,yaw_a) from the current candidate table.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441768"/>
            <wp:docPr id="5" name="Picture 5" title="Masked action selection" descr="The policy selects the highest-Q valid candidate-table inde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ed_choice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41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2.3 Transition Variables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Store τi = (sA(i), ai, rB(i), sAB(i), di): sA is the pre-action state, ai the selected candidate index, rB the post-B reward, sAB the fused A+B record, and di=1 the terminal flag, so yi=ri.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3 Reward Fusion and Training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032129"/>
            <wp:docPr id="6" name="Picture 6" title="Reward target and fusion equations" descr="Compact equations for reward, terminal learning target and VPOCLIP score fu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panel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3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SA and SB are cosine similarities or logits from independent frozen VPOCLIP passes. Use softmax only for probability, cross-entropy or entropy diagnostics; prediction remains argmax over the fused score.</w:t>
      </w:r>
    </w:p>
    <w:p>
      <w:pPr>
        <w:spacing w:after="120" w:line="240" w:lineRule="auto"/>
        <w:shd w:fill="F2F4F6"/>
        <w:ind w:left="120" w:right="120"/>
      </w:pPr>
      <w:r>
        <w:rPr>
          <w:rFonts w:ascii="Consolas" w:hAnsi="Consolas" w:eastAsia="Consolas"/>
          <w:b w:val="0"/>
          <w:color w:val="000000"/>
          <w:sz w:val="17"/>
        </w:rPr>
        <w:t>clip,A: s_A → mask → epsilon-greedy k → observe B → fuse → r_B → store τ_i</w:t>
      </w:r>
      <w:r>
        <w:br/>
      </w:r>
      <w:r>
        <w:rPr>
          <w:rFonts w:ascii="Consolas" w:hAnsi="Consolas" w:eastAsia="Consolas"/>
          <w:b w:val="0"/>
          <w:color w:val="000000"/>
          <w:sz w:val="17"/>
        </w:rPr>
        <w:t>batch: SmoothL1(Q_online(s_A,k), r_B); periodically copy Q_online to Q_target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Subjects: 45 VPOCLIP train | 25 DQN train | 10 validation | 20 final test. DQN uses four low-height views; high views support recognizer pretraining or robustness ablations.</w:t>
      </w:r>
    </w:p>
    <w:sectPr w:rsidR="00FC693F" w:rsidRPr="0006063C" w:rsidSect="00034616">
      <w:footerReference w:type="default" r:id="rId9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4F6071"/>
        <w:sz w:val="16"/>
      </w:rPr>
      <w:t>Rosbot 4 to 2 Active 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Rosbot Active View Design</dc:title>
  <dc:subject>Body orientation conditioned four to two active view selection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