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Times New Roman" w:cs="Times New Roman" w:eastAsia="Times New Roman" w:hAnsi="Times New Roman"/>
          <w:b/>
          <w:bCs/>
          <w:caps/>
          <w:sz w:val="32"/>
          <w:szCs w:val="32"/>
        </w:rPr>
        <w:t xml:space="preserve">CONTRATO DE LICENCIA DE USO DE PLATAFORMA TECNOLÓGICA</w:t>
      </w:r>
    </w:p>
    <w:p>
      <w:pPr>
        <w:spacing w:after="200"/>
        <w:jc w:val="center"/>
      </w:pPr>
      <w:r>
        <w:rPr>
          <w:rFonts w:ascii="Times New Roman" w:cs="Times New Roman" w:eastAsia="Times New Roman" w:hAnsi="Times New Roman"/>
          <w:i/>
          <w:iCs/>
          <w:sz w:val="26"/>
          <w:szCs w:val="26"/>
        </w:rPr>
        <w:t xml:space="preserve">Modalidad Software como Servicio (SaaS)</w:t>
      </w:r>
    </w:p>
    <w:p>
      <w:pPr>
        <w:spacing w:after="600"/>
        <w:jc w:val="center"/>
      </w:pPr>
      <w:r>
        <w:rPr>
          <w:rFonts w:ascii="Times New Roman" w:cs="Times New Roman" w:eastAsia="Times New Roman" w:hAnsi="Times New Roman"/>
          <w:b/>
          <w:bCs/>
          <w:sz w:val="28"/>
          <w:szCs w:val="28"/>
        </w:rPr>
        <w:t xml:space="preserve">PLATAFORMA CLARACORE</w:t>
      </w:r>
    </w:p>
    <w:p>
      <w:pPr>
        <w:spacing w:after="100"/>
        <w:jc w:val="center"/>
      </w:pPr>
      <w:r>
        <w:rPr>
          <w:rFonts w:ascii="Times New Roman" w:cs="Times New Roman" w:eastAsia="Times New Roman" w:hAnsi="Times New Roman"/>
          <w:b/>
          <w:bCs/>
          <w:sz w:val="24"/>
          <w:szCs w:val="24"/>
        </w:rPr>
        <w:t xml:space="preserve">Contrato N.° {{NUMERO_CONTRATO}}</w:t>
      </w:r>
    </w:p>
    <w:p>
      <w:pPr>
        <w:spacing w:after="1800"/>
        <w:jc w:val="center"/>
      </w:pPr>
      <w:r>
        <w:rPr>
          <w:rFonts w:ascii="Times New Roman" w:cs="Times New Roman" w:eastAsia="Times New Roman" w:hAnsi="Times New Roman"/>
          <w:sz w:val="24"/>
          <w:szCs w:val="24"/>
        </w:rPr>
        <w:t xml:space="preserve">Bogotá D.C., {{FECHA_GENERACION}}</w:t>
      </w:r>
    </w:p>
    <w:p>
      <w:pPr>
        <w:spacing w:after="200" w:before="400"/>
        <w:jc w:val="center"/>
      </w:pPr>
      <w:r>
        <w:rPr>
          <w:rFonts w:ascii="Times New Roman" w:cs="Times New Roman" w:eastAsia="Times New Roman" w:hAnsi="Times New Roman"/>
          <w:b/>
          <w:bCs/>
          <w:caps/>
          <w:sz w:val="26"/>
          <w:szCs w:val="26"/>
        </w:rPr>
        <w:t xml:space="preserve">PARTES</w:t>
      </w:r>
    </w:p>
    <w:p>
      <w:pPr>
        <w:spacing w:after="160"/>
        <w:jc w:val="both"/>
      </w:pPr>
      <w:r>
        <w:rPr>
          <w:rFonts w:ascii="Times New Roman" w:cs="Times New Roman" w:eastAsia="Times New Roman" w:hAnsi="Times New Roman"/>
          <w:sz w:val="24"/>
          <w:szCs w:val="24"/>
        </w:rPr>
        <w:t xml:space="preserve">De una parte, </w:t>
      </w:r>
      <w:r>
        <w:rPr>
          <w:rFonts w:ascii="Times New Roman" w:cs="Times New Roman" w:eastAsia="Times New Roman" w:hAnsi="Times New Roman"/>
          <w:b/>
          <w:bCs/>
          <w:sz w:val="24"/>
          <w:szCs w:val="24"/>
        </w:rPr>
        <w:t xml:space="preserve">CLARACORE SOLUTIONS S.A.S.</w:t>
      </w:r>
      <w:r>
        <w:rPr>
          <w:rFonts w:ascii="Times New Roman" w:cs="Times New Roman" w:eastAsia="Times New Roman" w:hAnsi="Times New Roman"/>
          <w:sz w:val="24"/>
          <w:szCs w:val="24"/>
        </w:rPr>
        <w:t xml:space="preserve">, sociedad comercial identificada con NIT {{CLARACORE_NIT}}, con domicilio en Bogotá D.C., representada legalmente por </w:t>
      </w:r>
      <w:r>
        <w:rPr>
          <w:rFonts w:ascii="Times New Roman" w:cs="Times New Roman" w:eastAsia="Times New Roman" w:hAnsi="Times New Roman"/>
          <w:b/>
          <w:bCs/>
          <w:sz w:val="24"/>
          <w:szCs w:val="24"/>
        </w:rPr>
        <w:t xml:space="preserve">Jorge Andrés Jaimes Arenas</w:t>
      </w:r>
      <w:r>
        <w:rPr>
          <w:rFonts w:ascii="Times New Roman" w:cs="Times New Roman" w:eastAsia="Times New Roman" w:hAnsi="Times New Roman"/>
          <w:sz w:val="24"/>
          <w:szCs w:val="24"/>
        </w:rPr>
        <w:t xml:space="preserve">, identificado con cédula de ciudadanía N.° 80.071.406 de Bogotá, quien en adelante se denominará </w:t>
      </w:r>
      <w:r>
        <w:rPr>
          <w:rFonts w:ascii="Times New Roman" w:cs="Times New Roman" w:eastAsia="Times New Roman" w:hAnsi="Times New Roman"/>
          <w:b/>
          <w:bCs/>
          <w:sz w:val="24"/>
          <w:szCs w:val="24"/>
        </w:rPr>
        <w:t xml:space="preserve">EL LICENCIANTE</w:t>
      </w:r>
      <w:r>
        <w:rPr>
          <w:rFonts w:ascii="Times New Roman" w:cs="Times New Roman" w:eastAsia="Times New Roman" w:hAnsi="Times New Roman"/>
          <w:sz w:val="24"/>
          <w:szCs w:val="24"/>
        </w:rPr>
        <w:t xml:space="preserve">; y de otra parte, </w:t>
      </w:r>
      <w:r>
        <w:rPr>
          <w:rFonts w:ascii="Times New Roman" w:cs="Times New Roman" w:eastAsia="Times New Roman" w:hAnsi="Times New Roman"/>
          <w:b/>
          <w:bCs/>
          <w:sz w:val="24"/>
          <w:szCs w:val="24"/>
          <w:highlight w:val="yellow"/>
        </w:rPr>
        <w:t xml:space="preserve">{{LIC_RAZON_SOCIAL}}</w:t>
      </w:r>
      <w:r>
        <w:rPr>
          <w:rFonts w:ascii="Times New Roman" w:cs="Times New Roman" w:eastAsia="Times New Roman" w:hAnsi="Times New Roman"/>
          <w:sz w:val="24"/>
          <w:szCs w:val="24"/>
        </w:rPr>
        <w:t xml:space="preserve">, identificada con NIT {{LIC_NIT}}, con domicilio en {{LIC_DIRECCION}}, representada legalmente por </w:t>
      </w:r>
      <w:r>
        <w:rPr>
          <w:rFonts w:ascii="Times New Roman" w:cs="Times New Roman" w:eastAsia="Times New Roman" w:hAnsi="Times New Roman"/>
          <w:b/>
          <w:bCs/>
          <w:sz w:val="24"/>
          <w:szCs w:val="24"/>
          <w:highlight w:val="yellow"/>
        </w:rPr>
        <w:t xml:space="preserve">{{LIC_REPRESENTANTE}}</w:t>
      </w:r>
      <w:r>
        <w:rPr>
          <w:rFonts w:ascii="Times New Roman" w:cs="Times New Roman" w:eastAsia="Times New Roman" w:hAnsi="Times New Roman"/>
          <w:sz w:val="24"/>
          <w:szCs w:val="24"/>
        </w:rPr>
        <w:t xml:space="preserve">, identificado con cédula de ciudadanía N.° {{LIC_CEDULA}}, quien en adelante se denominará </w:t>
      </w:r>
      <w:r>
        <w:rPr>
          <w:rFonts w:ascii="Times New Roman" w:cs="Times New Roman" w:eastAsia="Times New Roman" w:hAnsi="Times New Roman"/>
          <w:b/>
          <w:bCs/>
          <w:sz w:val="24"/>
          <w:szCs w:val="24"/>
        </w:rPr>
        <w:t xml:space="preserve">EL LICENCIATARIO</w:t>
      </w:r>
      <w:r>
        <w:rPr>
          <w:rFonts w:ascii="Times New Roman" w:cs="Times New Roman" w:eastAsia="Times New Roman" w:hAnsi="Times New Roman"/>
          <w:sz w:val="24"/>
          <w:szCs w:val="24"/>
        </w:rPr>
        <w:t xml:space="preserve">; acuerdan celebrar el presente Contrato de Licencia de Uso de Plataforma Tecnológica, que se regirá por las siguientes cláusulas:</w:t>
      </w:r>
    </w:p>
    <w:p>
      <w:pPr>
        <w:spacing w:after="200" w:before="400"/>
        <w:jc w:val="center"/>
      </w:pPr>
      <w:r>
        <w:rPr>
          <w:rFonts w:ascii="Times New Roman" w:cs="Times New Roman" w:eastAsia="Times New Roman" w:hAnsi="Times New Roman"/>
          <w:b/>
          <w:bCs/>
          <w:caps/>
          <w:sz w:val="26"/>
          <w:szCs w:val="26"/>
        </w:rPr>
        <w:t xml:space="preserve">CAPÍTULO I
OBJETO Y ALCANCE</w:t>
      </w:r>
    </w:p>
    <w:p>
      <w:pPr>
        <w:spacing w:after="160" w:before="200"/>
        <w:jc w:val="both"/>
      </w:pPr>
      <w:r>
        <w:rPr>
          <w:rFonts w:ascii="Times New Roman" w:cs="Times New Roman" w:eastAsia="Times New Roman" w:hAnsi="Times New Roman"/>
          <w:b/>
          <w:bCs/>
          <w:sz w:val="24"/>
          <w:szCs w:val="24"/>
        </w:rPr>
        <w:t xml:space="preserve">CLÁUSULA 1. – OBJETO: </w:t>
      </w:r>
      <w:r>
        <w:rPr>
          <w:rFonts w:ascii="Times New Roman" w:cs="Times New Roman" w:eastAsia="Times New Roman" w:hAnsi="Times New Roman"/>
          <w:sz w:val="24"/>
          <w:szCs w:val="24"/>
        </w:rPr>
        <w:t xml:space="preserve">EL LICENCIANTE otorga a EL LICENCIATARIO una licencia de uso no exclusiva, intransferible y revocable sobre la plataforma tecnológica </w:t>
      </w:r>
      <w:r>
        <w:rPr>
          <w:rFonts w:ascii="Times New Roman" w:cs="Times New Roman" w:eastAsia="Times New Roman" w:hAnsi="Times New Roman"/>
          <w:b/>
          <w:bCs/>
          <w:sz w:val="24"/>
          <w:szCs w:val="24"/>
        </w:rPr>
        <w:t xml:space="preserve">CLARACORE</w:t>
      </w:r>
      <w:r>
        <w:rPr>
          <w:rFonts w:ascii="Times New Roman" w:cs="Times New Roman" w:eastAsia="Times New Roman" w:hAnsi="Times New Roman"/>
          <w:sz w:val="24"/>
          <w:szCs w:val="24"/>
        </w:rPr>
        <w:t xml:space="preserve">, software de gestión integral de contratos de obra, en modalidad de Software como Servicio (SaaS), para el contrato u obra identificado como: </w:t>
      </w:r>
      <w:r>
        <w:rPr>
          <w:rFonts w:ascii="Times New Roman" w:cs="Times New Roman" w:eastAsia="Times New Roman" w:hAnsi="Times New Roman"/>
          <w:b/>
          <w:bCs/>
          <w:sz w:val="24"/>
          <w:szCs w:val="24"/>
          <w:highlight w:val="yellow"/>
        </w:rPr>
        <w:t xml:space="preserve">{{LIC_OBRA}}</w:t>
      </w:r>
      <w:r>
        <w:rPr>
          <w:rFonts w:ascii="Times New Roman" w:cs="Times New Roman" w:eastAsia="Times New Roman" w:hAnsi="Times New Roman"/>
          <w:sz w:val="24"/>
          <w:szCs w:val="24"/>
        </w:rPr>
        <w:t xml:space="preserve">. La licencia comprende el acceso vía web a los módulos contratados, el almacenamiento de la información registrada y el soporte técnico ordinario.</w:t>
      </w:r>
    </w:p>
    <w:p>
      <w:pPr>
        <w:spacing w:after="160" w:before="200"/>
        <w:jc w:val="both"/>
      </w:pPr>
      <w:r>
        <w:rPr>
          <w:rFonts w:ascii="Times New Roman" w:cs="Times New Roman" w:eastAsia="Times New Roman" w:hAnsi="Times New Roman"/>
          <w:b/>
          <w:bCs/>
          <w:sz w:val="24"/>
          <w:szCs w:val="24"/>
        </w:rPr>
        <w:t xml:space="preserve">CLÁUSULA 2. – ALCANCE DE LA LICENCIA: </w:t>
      </w:r>
      <w:r>
        <w:rPr>
          <w:rFonts w:ascii="Times New Roman" w:cs="Times New Roman" w:eastAsia="Times New Roman" w:hAnsi="Times New Roman"/>
          <w:sz w:val="24"/>
          <w:szCs w:val="24"/>
        </w:rPr>
        <w:t xml:space="preserve">La presente licencia otorga únicamente un derecho personal de acceso y uso de la plataforma. En ningún caso implica la transferencia, cesión o enajenación total o parcial del software, su código fuente, su arquitectura, sus bases de datos estructurales, sus interfaces, su documentación técnica ni ningún otro componente de la plataforma, los cuales permanecen en propiedad exclusiva de su titular. EL LICENCIATARIO no adquiere ningún derecho de propiedad intelectual sobre la plataforma por el uso de la misma, sin importar la duración de la relación contractual.</w:t>
      </w:r>
    </w:p>
    <w:p>
      <w:pPr>
        <w:spacing w:after="160" w:before="200"/>
        <w:jc w:val="both"/>
      </w:pPr>
      <w:r>
        <w:rPr>
          <w:rFonts w:ascii="Times New Roman" w:cs="Times New Roman" w:eastAsia="Times New Roman" w:hAnsi="Times New Roman"/>
          <w:b/>
          <w:bCs/>
          <w:sz w:val="24"/>
          <w:szCs w:val="24"/>
        </w:rPr>
        <w:t xml:space="preserve">CLÁUSULA 3. – USUARIOS AUTORIZADOS: </w:t>
      </w:r>
      <w:r>
        <w:rPr>
          <w:rFonts w:ascii="Times New Roman" w:cs="Times New Roman" w:eastAsia="Times New Roman" w:hAnsi="Times New Roman"/>
          <w:sz w:val="24"/>
          <w:szCs w:val="24"/>
        </w:rPr>
        <w:t xml:space="preserve">EL LICENCIATARIO tendrá derecho al número de usuarios definido en la propuesta económica aceptada. Las credenciales de acceso son personales e intransferibles. EL LICENCIATARIO es responsable del uso que sus usuarios hagan de la plataforma y de mantener la confidencialidad de las credenciales.</w:t>
      </w:r>
    </w:p>
    <w:p>
      <w:pPr>
        <w:spacing w:after="200" w:before="400"/>
        <w:jc w:val="center"/>
      </w:pPr>
      <w:r>
        <w:rPr>
          <w:rFonts w:ascii="Times New Roman" w:cs="Times New Roman" w:eastAsia="Times New Roman" w:hAnsi="Times New Roman"/>
          <w:b/>
          <w:bCs/>
          <w:caps/>
          <w:sz w:val="26"/>
          <w:szCs w:val="26"/>
        </w:rPr>
        <w:t xml:space="preserve">CAPÍTULO II
VALOR Y FORMA DE PAGO</w:t>
      </w:r>
    </w:p>
    <w:p>
      <w:pPr>
        <w:spacing w:after="160" w:before="200"/>
        <w:jc w:val="both"/>
      </w:pPr>
      <w:r>
        <w:rPr>
          <w:rFonts w:ascii="Times New Roman" w:cs="Times New Roman" w:eastAsia="Times New Roman" w:hAnsi="Times New Roman"/>
          <w:b/>
          <w:bCs/>
          <w:sz w:val="24"/>
          <w:szCs w:val="24"/>
        </w:rPr>
        <w:t xml:space="preserve">CLÁUSULA 4. – VALOR: </w:t>
      </w:r>
      <w:r>
        <w:rPr>
          <w:rFonts w:ascii="Times New Roman" w:cs="Times New Roman" w:eastAsia="Times New Roman" w:hAnsi="Times New Roman"/>
          <w:sz w:val="24"/>
          <w:szCs w:val="24"/>
        </w:rPr>
        <w:t xml:space="preserve">El valor mensual de la licencia es de </w:t>
      </w:r>
      <w:r>
        <w:rPr>
          <w:rFonts w:ascii="Times New Roman" w:cs="Times New Roman" w:eastAsia="Times New Roman" w:hAnsi="Times New Roman"/>
          <w:b/>
          <w:bCs/>
          <w:sz w:val="24"/>
          <w:szCs w:val="24"/>
          <w:highlight w:val="yellow"/>
        </w:rPr>
        <w:t xml:space="preserve">{{LIC_VALOR_MENSUAL_LETRAS}}</w:t>
      </w:r>
      <w:r>
        <w:rPr>
          <w:rFonts w:ascii="Times New Roman" w:cs="Times New Roman" w:eastAsia="Times New Roman" w:hAnsi="Times New Roman"/>
          <w:sz w:val="24"/>
          <w:szCs w:val="24"/>
        </w:rPr>
        <w:t xml:space="preserve"> pesos ($</w:t>
      </w:r>
      <w:r>
        <w:rPr>
          <w:rFonts w:ascii="Times New Roman" w:cs="Times New Roman" w:eastAsia="Times New Roman" w:hAnsi="Times New Roman"/>
          <w:b/>
          <w:bCs/>
          <w:sz w:val="24"/>
          <w:szCs w:val="24"/>
          <w:highlight w:val="yellow"/>
        </w:rPr>
        <w:t xml:space="preserve">{{LIC_VALOR_MENSUAL}}</w:t>
      </w:r>
      <w:r>
        <w:rPr>
          <w:rFonts w:ascii="Times New Roman" w:cs="Times New Roman" w:eastAsia="Times New Roman" w:hAnsi="Times New Roman"/>
          <w:sz w:val="24"/>
          <w:szCs w:val="24"/>
        </w:rPr>
        <w:t xml:space="preserve">) más IVA, por contrato u obra activa en la plataforma. El valor mensual de la licencia se ajustará anualmente el 1 de enero de cada año, en un porcentaje igual a la variación del IPC certificado por el DANE para el año inmediatamente anterior, sin que se requiera notificación previa.</w:t>
      </w:r>
    </w:p>
    <w:p>
      <w:pPr>
        <w:spacing w:after="160" w:before="200"/>
        <w:jc w:val="both"/>
      </w:pPr>
      <w:r>
        <w:rPr>
          <w:rFonts w:ascii="Times New Roman" w:cs="Times New Roman" w:eastAsia="Times New Roman" w:hAnsi="Times New Roman"/>
          <w:b/>
          <w:bCs/>
          <w:sz w:val="24"/>
          <w:szCs w:val="24"/>
        </w:rPr>
        <w:t xml:space="preserve">CLÁUSULA 5. – FORMA DE PAGO: </w:t>
      </w:r>
      <w:r>
        <w:rPr>
          <w:rFonts w:ascii="Times New Roman" w:cs="Times New Roman" w:eastAsia="Times New Roman" w:hAnsi="Times New Roman"/>
          <w:sz w:val="24"/>
          <w:szCs w:val="24"/>
        </w:rPr>
        <w:t xml:space="preserve">El pago se realizará de manera mensual anticipada, dentro de los primeros siete (7) días calendario de cada mes, mediante consignación o transferencia a la cuenta bancaria que EL LICENCIANTE indique en la factura correspondiente.</w:t>
      </w:r>
    </w:p>
    <w:p>
      <w:pPr>
        <w:spacing w:after="160" w:before="200"/>
        <w:jc w:val="both"/>
      </w:pPr>
      <w:r>
        <w:rPr>
          <w:rFonts w:ascii="Times New Roman" w:cs="Times New Roman" w:eastAsia="Times New Roman" w:hAnsi="Times New Roman"/>
          <w:b/>
          <w:bCs/>
          <w:sz w:val="24"/>
          <w:szCs w:val="24"/>
        </w:rPr>
        <w:t xml:space="preserve">CLÁUSULA 6. – SUSPENSIÓN POR NO PAGO: </w:t>
      </w:r>
      <w:r>
        <w:rPr>
          <w:rFonts w:ascii="Times New Roman" w:cs="Times New Roman" w:eastAsia="Times New Roman" w:hAnsi="Times New Roman"/>
          <w:sz w:val="24"/>
          <w:szCs w:val="24"/>
        </w:rPr>
        <w:t xml:space="preserve">Si transcurridos los siete (7) días calendario del mes correspondiente no se ha recibido el pago, EL LICENCIANTE notificará al LICENCIATARIO por correo electrónico y otorgará un plazo de gracia de cinco (5) días hábiles adicionales. Vencido este plazo sin pago, EL LICENCIANTE podrá suspender el acceso a la plataforma sin que ello constituya incumplimiento de su parte y sin perjuicio del cobro de los valores adeudados. La información registrada por EL LICENCIATARIO se conservará durante la suspensión por un período de sesenta (60) días calendario, luego del cual EL LICENCIANTE podrá archivarla. El restablecimiento del servicio se realizará dentro de las veinticuatro (24) horas siguientes a la verificación del pago.</w:t>
      </w:r>
    </w:p>
    <w:p>
      <w:pPr>
        <w:spacing w:after="200" w:before="400"/>
        <w:jc w:val="center"/>
      </w:pPr>
      <w:r>
        <w:rPr>
          <w:rFonts w:ascii="Times New Roman" w:cs="Times New Roman" w:eastAsia="Times New Roman" w:hAnsi="Times New Roman"/>
          <w:b/>
          <w:bCs/>
          <w:caps/>
          <w:sz w:val="26"/>
          <w:szCs w:val="26"/>
        </w:rPr>
        <w:t xml:space="preserve">CAPÍTULO III
PROTECCIÓN Y TRATAMIENTO DE DATOS</w:t>
      </w:r>
    </w:p>
    <w:p>
      <w:pPr>
        <w:spacing w:after="160" w:before="200"/>
        <w:jc w:val="both"/>
      </w:pPr>
      <w:r>
        <w:rPr>
          <w:rFonts w:ascii="Times New Roman" w:cs="Times New Roman" w:eastAsia="Times New Roman" w:hAnsi="Times New Roman"/>
          <w:b/>
          <w:bCs/>
          <w:sz w:val="24"/>
          <w:szCs w:val="24"/>
        </w:rPr>
        <w:t xml:space="preserve">CLÁUSULA 7. – TITULARIDAD DE LA INFORMACIÓN: </w:t>
      </w:r>
      <w:r>
        <w:rPr>
          <w:rFonts w:ascii="Times New Roman" w:cs="Times New Roman" w:eastAsia="Times New Roman" w:hAnsi="Times New Roman"/>
          <w:sz w:val="24"/>
          <w:szCs w:val="24"/>
        </w:rPr>
        <w:t xml:space="preserve">La información, registros, mediciones, documentos y datos que EL LICENCIATARIO cargue o genere en la plataforma son de su propiedad. EL LICENCIANTE actúa exclusivamente como encargado del tratamiento en los términos de la Ley 1581 de 2012 y sus decretos reglamentarios, limitándose a almacenar y procesar dicha información para la prestación del servicio.</w:t>
      </w:r>
    </w:p>
    <w:p>
      <w:pPr>
        <w:spacing w:after="160" w:before="200"/>
        <w:jc w:val="both"/>
      </w:pPr>
      <w:r>
        <w:rPr>
          <w:rFonts w:ascii="Times New Roman" w:cs="Times New Roman" w:eastAsia="Times New Roman" w:hAnsi="Times New Roman"/>
          <w:b/>
          <w:bCs/>
          <w:sz w:val="24"/>
          <w:szCs w:val="24"/>
        </w:rPr>
        <w:t xml:space="preserve">CLÁUSULA 8. – OBLIGACIONES DEL LICENCIANTE SOBRE LOS DATOS: </w:t>
      </w:r>
      <w:r>
        <w:rPr>
          <w:rFonts w:ascii="Times New Roman" w:cs="Times New Roman" w:eastAsia="Times New Roman" w:hAnsi="Times New Roman"/>
          <w:sz w:val="24"/>
          <w:szCs w:val="24"/>
        </w:rPr>
        <w:t xml:space="preserve">EL LICENCIANTE se obliga a: </w:t>
      </w:r>
    </w:p>
    <w:p>
      <w:pPr>
        <w:pStyle w:val="ListParagraph"/>
        <w:numPr>
          <w:ilvl w:val="0"/>
          <w:numId w:val="2"/>
        </w:numPr>
        <w:spacing w:after="100"/>
        <w:jc w:val="both"/>
      </w:pPr>
      <w:r>
        <w:rPr>
          <w:rFonts w:ascii="Times New Roman" w:cs="Times New Roman" w:eastAsia="Times New Roman" w:hAnsi="Times New Roman"/>
          <w:sz w:val="24"/>
          <w:szCs w:val="24"/>
        </w:rPr>
        <w:t xml:space="preserve">Implementar medidas técnicas y administrativas razonables de seguridad para proteger la información contra acceso no autorizado, pérdida o alteración;</w:t>
      </w:r>
    </w:p>
    <w:p>
      <w:pPr>
        <w:pStyle w:val="ListParagraph"/>
        <w:numPr>
          <w:ilvl w:val="0"/>
          <w:numId w:val="2"/>
        </w:numPr>
        <w:spacing w:after="100"/>
        <w:jc w:val="both"/>
      </w:pPr>
      <w:r>
        <w:rPr>
          <w:rFonts w:ascii="Times New Roman" w:cs="Times New Roman" w:eastAsia="Times New Roman" w:hAnsi="Times New Roman"/>
          <w:sz w:val="24"/>
          <w:szCs w:val="24"/>
        </w:rPr>
        <w:t xml:space="preserve">No divulgar, comercializar, ceder ni utilizar la información del LICENCIATARIO para fines distintos a la prestación del servicio;</w:t>
      </w:r>
    </w:p>
    <w:p>
      <w:pPr>
        <w:pStyle w:val="ListParagraph"/>
        <w:numPr>
          <w:ilvl w:val="0"/>
          <w:numId w:val="2"/>
        </w:numPr>
        <w:spacing w:after="100"/>
        <w:jc w:val="both"/>
      </w:pPr>
      <w:r>
        <w:rPr>
          <w:rFonts w:ascii="Times New Roman" w:cs="Times New Roman" w:eastAsia="Times New Roman" w:hAnsi="Times New Roman"/>
          <w:sz w:val="24"/>
          <w:szCs w:val="24"/>
        </w:rPr>
        <w:t xml:space="preserve">Realizar copias de seguridad periódicas de la información alojada en la plataforma;</w:t>
      </w:r>
    </w:p>
    <w:p>
      <w:pPr>
        <w:pStyle w:val="ListParagraph"/>
        <w:numPr>
          <w:ilvl w:val="0"/>
          <w:numId w:val="2"/>
        </w:numPr>
        <w:spacing w:after="100"/>
        <w:jc w:val="both"/>
      </w:pPr>
      <w:r>
        <w:rPr>
          <w:rFonts w:ascii="Times New Roman" w:cs="Times New Roman" w:eastAsia="Times New Roman" w:hAnsi="Times New Roman"/>
          <w:sz w:val="24"/>
          <w:szCs w:val="24"/>
        </w:rPr>
        <w:t xml:space="preserve">Entregar al LICENCIATARIO, a la terminación del contrato y previa solicitud escrita, una exportación de su información en formato estándar, dentro de los treinta (30) días calendario siguientes;</w:t>
      </w:r>
    </w:p>
    <w:p>
      <w:pPr>
        <w:pStyle w:val="ListParagraph"/>
        <w:numPr>
          <w:ilvl w:val="0"/>
          <w:numId w:val="2"/>
        </w:numPr>
        <w:spacing w:after="100"/>
        <w:jc w:val="both"/>
      </w:pPr>
      <w:r>
        <w:rPr>
          <w:rFonts w:ascii="Times New Roman" w:cs="Times New Roman" w:eastAsia="Times New Roman" w:hAnsi="Times New Roman"/>
          <w:sz w:val="24"/>
          <w:szCs w:val="24"/>
        </w:rPr>
        <w:t xml:space="preserve">Notificar al LICENCIATARIO cualquier incidente de seguridad que comprometa su información, dentro de las setenta y dos (72) horas siguientes a su detección.</w:t>
      </w:r>
    </w:p>
    <w:p>
      <w:pPr>
        <w:spacing w:after="160"/>
        <w:jc w:val="both"/>
      </w:pPr>
      <w:r>
        <w:rPr>
          <w:rFonts w:ascii="Times New Roman" w:cs="Times New Roman" w:eastAsia="Times New Roman" w:hAnsi="Times New Roman"/>
          <w:sz w:val="24"/>
          <w:szCs w:val="24"/>
        </w:rPr>
        <w:t xml:space="preserve"/>
      </w:r>
    </w:p>
    <w:p>
      <w:pPr>
        <w:spacing w:after="160" w:before="200"/>
        <w:jc w:val="both"/>
      </w:pPr>
      <w:r>
        <w:rPr>
          <w:rFonts w:ascii="Times New Roman" w:cs="Times New Roman" w:eastAsia="Times New Roman" w:hAnsi="Times New Roman"/>
          <w:b/>
          <w:bCs/>
          <w:sz w:val="24"/>
          <w:szCs w:val="24"/>
        </w:rPr>
        <w:t xml:space="preserve">CLÁUSULA 9. – DATOS PERSONALES: </w:t>
      </w:r>
      <w:r>
        <w:rPr>
          <w:rFonts w:ascii="Times New Roman" w:cs="Times New Roman" w:eastAsia="Times New Roman" w:hAnsi="Times New Roman"/>
          <w:sz w:val="24"/>
          <w:szCs w:val="24"/>
        </w:rPr>
        <w:t xml:space="preserve">Cuando la información cargada incluya datos personales de terceros (trabajadores, contratistas, usuarios), EL LICENCIATARIO declara contar con la autorización de los titulares para su tratamiento y mantiene la calidad de responsable del tratamiento. EL LICENCIANTE tratará dichos datos exclusivamente conforme a las instrucciones del LICENCIATARIO y a la finalidad del servicio.</w:t>
      </w:r>
    </w:p>
    <w:p>
      <w:pPr>
        <w:spacing w:after="200" w:before="400"/>
        <w:jc w:val="center"/>
      </w:pPr>
      <w:r>
        <w:rPr>
          <w:rFonts w:ascii="Times New Roman" w:cs="Times New Roman" w:eastAsia="Times New Roman" w:hAnsi="Times New Roman"/>
          <w:b/>
          <w:bCs/>
          <w:caps/>
          <w:sz w:val="26"/>
          <w:szCs w:val="26"/>
        </w:rPr>
        <w:t xml:space="preserve">CAPÍTULO IV
PROPIEDAD INTELECTUAL Y PROTECCIÓN DE LA PLATAFORMA</w:t>
      </w:r>
    </w:p>
    <w:p>
      <w:pPr>
        <w:spacing w:after="160" w:before="200"/>
        <w:jc w:val="both"/>
      </w:pPr>
      <w:r>
        <w:rPr>
          <w:rFonts w:ascii="Times New Roman" w:cs="Times New Roman" w:eastAsia="Times New Roman" w:hAnsi="Times New Roman"/>
          <w:b/>
          <w:bCs/>
          <w:sz w:val="24"/>
          <w:szCs w:val="24"/>
        </w:rPr>
        <w:t xml:space="preserve">CLÁUSULA 10. – PROPIEDAD INTELECTUAL: </w:t>
      </w:r>
      <w:r>
        <w:rPr>
          <w:rFonts w:ascii="Times New Roman" w:cs="Times New Roman" w:eastAsia="Times New Roman" w:hAnsi="Times New Roman"/>
          <w:sz w:val="24"/>
          <w:szCs w:val="24"/>
        </w:rPr>
        <w:t xml:space="preserve">La plataforma CLARACORE, incluyendo su código fuente, arquitectura, diseño de interfaces, estructura de bases de datos, algoritmos, módulos, documentación, marca y demás elementos protegibles, se encuentra registrada ante la Dirección Nacional de Derecho de Autor (DNDA) de Colombia y es de propiedad exclusiva de su titular. Ningún elemento de este contrato constituye cesión, transferencia o licencia de derechos de propiedad intelectual distintos al derecho de uso expresamente otorgado en la Cláusula 1.</w:t>
      </w:r>
    </w:p>
    <w:p>
      <w:pPr>
        <w:spacing w:after="160" w:before="200"/>
        <w:jc w:val="both"/>
      </w:pPr>
      <w:r>
        <w:rPr>
          <w:rFonts w:ascii="Times New Roman" w:cs="Times New Roman" w:eastAsia="Times New Roman" w:hAnsi="Times New Roman"/>
          <w:b/>
          <w:bCs/>
          <w:sz w:val="24"/>
          <w:szCs w:val="24"/>
        </w:rPr>
        <w:t xml:space="preserve">CLÁUSULA 11. – PROHIBICIONES: </w:t>
      </w:r>
      <w:r>
        <w:rPr>
          <w:rFonts w:ascii="Times New Roman" w:cs="Times New Roman" w:eastAsia="Times New Roman" w:hAnsi="Times New Roman"/>
          <w:sz w:val="24"/>
          <w:szCs w:val="24"/>
        </w:rPr>
        <w:t xml:space="preserve">EL LICENCIATARIO se obliga a NO realizar, directamente o a través de terceros, ninguna de las siguientes conductas:</w:t>
      </w:r>
    </w:p>
    <w:p>
      <w:pPr>
        <w:pStyle w:val="ListParagraph"/>
        <w:numPr>
          <w:ilvl w:val="0"/>
          <w:numId w:val="3"/>
        </w:numPr>
        <w:spacing w:after="100"/>
        <w:jc w:val="both"/>
      </w:pPr>
      <w:r>
        <w:rPr>
          <w:rFonts w:ascii="Times New Roman" w:cs="Times New Roman" w:eastAsia="Times New Roman" w:hAnsi="Times New Roman"/>
          <w:sz w:val="24"/>
          <w:szCs w:val="24"/>
        </w:rPr>
        <w:t xml:space="preserve">Copiar, reproducir, modificar, traducir o crear obras derivadas de la plataforma o de cualquiera de sus componentes;</w:t>
      </w:r>
    </w:p>
    <w:p>
      <w:pPr>
        <w:pStyle w:val="ListParagraph"/>
        <w:numPr>
          <w:ilvl w:val="0"/>
          <w:numId w:val="3"/>
        </w:numPr>
        <w:spacing w:after="100"/>
        <w:jc w:val="both"/>
      </w:pPr>
      <w:r>
        <w:rPr>
          <w:rFonts w:ascii="Times New Roman" w:cs="Times New Roman" w:eastAsia="Times New Roman" w:hAnsi="Times New Roman"/>
          <w:sz w:val="24"/>
          <w:szCs w:val="24"/>
        </w:rPr>
        <w:t xml:space="preserve">Realizar ingeniería inversa, descompilar, desensamblar o intentar derivar el código fuente, la lógica interna o la estructura de datos de la plataforma;</w:t>
      </w:r>
    </w:p>
    <w:p>
      <w:pPr>
        <w:pStyle w:val="ListParagraph"/>
        <w:numPr>
          <w:ilvl w:val="0"/>
          <w:numId w:val="3"/>
        </w:numPr>
        <w:spacing w:after="100"/>
        <w:jc w:val="both"/>
      </w:pPr>
      <w:r>
        <w:rPr>
          <w:rFonts w:ascii="Times New Roman" w:cs="Times New Roman" w:eastAsia="Times New Roman" w:hAnsi="Times New Roman"/>
          <w:sz w:val="24"/>
          <w:szCs w:val="24"/>
        </w:rPr>
        <w:t xml:space="preserve">Sublicenciar, arrendar, ceder, comercializar o poner la plataforma a disposición de terceros no autorizados;</w:t>
      </w:r>
    </w:p>
    <w:p>
      <w:pPr>
        <w:pStyle w:val="ListParagraph"/>
        <w:numPr>
          <w:ilvl w:val="0"/>
          <w:numId w:val="3"/>
        </w:numPr>
        <w:spacing w:after="100"/>
        <w:jc w:val="both"/>
      </w:pPr>
      <w:r>
        <w:rPr>
          <w:rFonts w:ascii="Times New Roman" w:cs="Times New Roman" w:eastAsia="Times New Roman" w:hAnsi="Times New Roman"/>
          <w:sz w:val="24"/>
          <w:szCs w:val="24"/>
        </w:rPr>
        <w:t xml:space="preserve">Utilizar el acceso a la plataforma para desarrollar, encargar o participar en el desarrollo de un producto, software o servicio que replique, imite o compita con las funcionalidades de CLARACORE;</w:t>
      </w:r>
    </w:p>
    <w:p>
      <w:pPr>
        <w:pStyle w:val="ListParagraph"/>
        <w:numPr>
          <w:ilvl w:val="0"/>
          <w:numId w:val="3"/>
        </w:numPr>
        <w:spacing w:after="100"/>
        <w:jc w:val="both"/>
      </w:pPr>
      <w:r>
        <w:rPr>
          <w:rFonts w:ascii="Times New Roman" w:cs="Times New Roman" w:eastAsia="Times New Roman" w:hAnsi="Times New Roman"/>
          <w:sz w:val="24"/>
          <w:szCs w:val="24"/>
        </w:rPr>
        <w:t xml:space="preserve">Extraer de manera masiva o sistemática la estructura, flujos de trabajo, lógica de validación o metodología implementada en la plataforma con fines distintos al uso ordinario del servicio;</w:t>
      </w:r>
    </w:p>
    <w:p>
      <w:pPr>
        <w:pStyle w:val="ListParagraph"/>
        <w:numPr>
          <w:ilvl w:val="0"/>
          <w:numId w:val="3"/>
        </w:numPr>
        <w:spacing w:after="100"/>
        <w:jc w:val="both"/>
      </w:pPr>
      <w:r>
        <w:rPr>
          <w:rFonts w:ascii="Times New Roman" w:cs="Times New Roman" w:eastAsia="Times New Roman" w:hAnsi="Times New Roman"/>
          <w:sz w:val="24"/>
          <w:szCs w:val="24"/>
        </w:rPr>
        <w:t xml:space="preserve">Eliminar, ocultar o alterar avisos de propiedad intelectual, marcas o créditos presentes en la plataforma.</w:t>
      </w:r>
    </w:p>
    <w:p>
      <w:pPr>
        <w:spacing w:after="160"/>
        <w:jc w:val="both"/>
      </w:pPr>
      <w:r>
        <w:rPr>
          <w:rFonts w:ascii="Times New Roman" w:cs="Times New Roman" w:eastAsia="Times New Roman" w:hAnsi="Times New Roman"/>
          <w:sz w:val="24"/>
          <w:szCs w:val="24"/>
        </w:rPr>
        <w:t xml:space="preserve"/>
      </w:r>
    </w:p>
    <w:p>
      <w:pPr>
        <w:spacing w:after="160" w:before="200"/>
        <w:jc w:val="both"/>
      </w:pPr>
      <w:r>
        <w:rPr>
          <w:rFonts w:ascii="Times New Roman" w:cs="Times New Roman" w:eastAsia="Times New Roman" w:hAnsi="Times New Roman"/>
          <w:b/>
          <w:bCs/>
          <w:sz w:val="24"/>
          <w:szCs w:val="24"/>
        </w:rPr>
        <w:t xml:space="preserve">CLÁUSULA 12. – NO COMPETENCIA DERIVADA DEL ACCESO: </w:t>
      </w:r>
      <w:r>
        <w:rPr>
          <w:rFonts w:ascii="Times New Roman" w:cs="Times New Roman" w:eastAsia="Times New Roman" w:hAnsi="Times New Roman"/>
          <w:sz w:val="24"/>
          <w:szCs w:val="24"/>
        </w:rPr>
        <w:t xml:space="preserve">EL LICENCIATARIO reconoce que el acceso a la plataforma le da conocimiento de metodologías, flujos y soluciones funcionales que constituyen secreto empresarial de EL LICENCIANTE. En consecuencia, se obliga a no desarrollar ni encargar a terceros el desarrollo de una solución tecnológica sustancialmente equivalente basada en dicho conocimiento, durante la vigencia del presente contrato y por un período de dos (2) años contados desde su terminación. Esta obligación no impide al LICENCIATARIO contratar o utilizar otras soluciones tecnológicas existentes en el mercado.</w:t>
      </w:r>
    </w:p>
    <w:p>
      <w:pPr>
        <w:spacing w:after="160" w:before="200"/>
        <w:jc w:val="both"/>
      </w:pPr>
      <w:r>
        <w:rPr>
          <w:rFonts w:ascii="Times New Roman" w:cs="Times New Roman" w:eastAsia="Times New Roman" w:hAnsi="Times New Roman"/>
          <w:b/>
          <w:bCs/>
          <w:sz w:val="24"/>
          <w:szCs w:val="24"/>
        </w:rPr>
        <w:t xml:space="preserve">CLÁUSULA 13. – CONFIDENCIALIDAD: </w:t>
      </w:r>
      <w:r>
        <w:rPr>
          <w:rFonts w:ascii="Times New Roman" w:cs="Times New Roman" w:eastAsia="Times New Roman" w:hAnsi="Times New Roman"/>
          <w:sz w:val="24"/>
          <w:szCs w:val="24"/>
        </w:rPr>
        <w:t xml:space="preserve">Las partes se obligan a mantener confidencialidad sobre la información técnica, comercial y operativa de la otra parte a la que tengan acceso en virtud del presente contrato, durante su vigencia y por un período de tres (3) años posteriores a su terminación. No se considera información confidencial aquella que sea de dominio público o que deba revelarse por orden de autoridad competente.</w:t>
      </w:r>
    </w:p>
    <w:p>
      <w:pPr>
        <w:spacing w:after="160" w:before="200"/>
        <w:jc w:val="both"/>
      </w:pPr>
      <w:r>
        <w:rPr>
          <w:rFonts w:ascii="Times New Roman" w:cs="Times New Roman" w:eastAsia="Times New Roman" w:hAnsi="Times New Roman"/>
          <w:b/>
          <w:bCs/>
          <w:sz w:val="24"/>
          <w:szCs w:val="24"/>
        </w:rPr>
        <w:t xml:space="preserve">CLÁUSULA 14. – CLÁUSULA PENAL: </w:t>
      </w:r>
      <w:r>
        <w:rPr>
          <w:rFonts w:ascii="Times New Roman" w:cs="Times New Roman" w:eastAsia="Times New Roman" w:hAnsi="Times New Roman"/>
          <w:sz w:val="24"/>
          <w:szCs w:val="24"/>
        </w:rPr>
        <w:t xml:space="preserve">El incumplimiento comprobado de las obligaciones contenidas en las Cláusulas 11, 12 o 13 causará a favor de EL LICENCIANTE una pena equivalente a cien (100) salarios mínimos legales mensuales vigentes, sin perjuicio de la indemnización de perjuicios adicionales que se demuestren y de las acciones legales por infracción a los derechos de autor conforme a la Ley 23 de 1982, la Ley 44 de 1993 y la Decisión Andina 351 de 1993.</w:t>
      </w:r>
    </w:p>
    <w:p>
      <w:pPr>
        <w:spacing w:after="200" w:before="400"/>
        <w:jc w:val="center"/>
      </w:pPr>
      <w:r>
        <w:rPr>
          <w:rFonts w:ascii="Times New Roman" w:cs="Times New Roman" w:eastAsia="Times New Roman" w:hAnsi="Times New Roman"/>
          <w:b/>
          <w:bCs/>
          <w:caps/>
          <w:sz w:val="26"/>
          <w:szCs w:val="26"/>
        </w:rPr>
        <w:t xml:space="preserve">CAPÍTULO V
CONDICIONES DEL SERVICIO</w:t>
      </w:r>
    </w:p>
    <w:p>
      <w:pPr>
        <w:spacing w:after="160" w:before="200"/>
        <w:jc w:val="both"/>
      </w:pPr>
      <w:r>
        <w:rPr>
          <w:rFonts w:ascii="Times New Roman" w:cs="Times New Roman" w:eastAsia="Times New Roman" w:hAnsi="Times New Roman"/>
          <w:b/>
          <w:bCs/>
          <w:sz w:val="24"/>
          <w:szCs w:val="24"/>
        </w:rPr>
        <w:t xml:space="preserve">CLÁUSULA 15. – DISPONIBILIDAD: </w:t>
      </w:r>
      <w:r>
        <w:rPr>
          <w:rFonts w:ascii="Times New Roman" w:cs="Times New Roman" w:eastAsia="Times New Roman" w:hAnsi="Times New Roman"/>
          <w:sz w:val="24"/>
          <w:szCs w:val="24"/>
        </w:rPr>
        <w:t xml:space="preserve">EL LICENCIANTE realizará esfuerzos razonables para mantener la plataforma disponible de manera continua, salvo ventanas de mantenimiento programado que serán notificadas con antelación mínima de veinticuatro (24) horas, y eventos de fuerza mayor o fallas atribuibles a proveedores de infraestructura de terceros.</w:t>
      </w:r>
    </w:p>
    <w:p>
      <w:pPr>
        <w:spacing w:after="160" w:before="200"/>
        <w:jc w:val="both"/>
      </w:pPr>
      <w:r>
        <w:rPr>
          <w:rFonts w:ascii="Times New Roman" w:cs="Times New Roman" w:eastAsia="Times New Roman" w:hAnsi="Times New Roman"/>
          <w:b/>
          <w:bCs/>
          <w:sz w:val="24"/>
          <w:szCs w:val="24"/>
        </w:rPr>
        <w:t xml:space="preserve">CLÁUSULA 16. – SOPORTE: </w:t>
      </w:r>
      <w:r>
        <w:rPr>
          <w:rFonts w:ascii="Times New Roman" w:cs="Times New Roman" w:eastAsia="Times New Roman" w:hAnsi="Times New Roman"/>
          <w:sz w:val="24"/>
          <w:szCs w:val="24"/>
        </w:rPr>
        <w:t xml:space="preserve">EL LICENCIANTE prestará soporte técnico ordinario a través de los canales definidos en la plataforma, en días hábiles. Las solicitudes de nuevas funcionalidades o desarrollos a la medida no hacen parte del soporte ordinario y serán cotizadas de manera independiente.</w:t>
      </w:r>
    </w:p>
    <w:p>
      <w:pPr>
        <w:spacing w:after="160" w:before="200"/>
        <w:jc w:val="both"/>
      </w:pPr>
      <w:r>
        <w:rPr>
          <w:rFonts w:ascii="Times New Roman" w:cs="Times New Roman" w:eastAsia="Times New Roman" w:hAnsi="Times New Roman"/>
          <w:b/>
          <w:bCs/>
          <w:sz w:val="24"/>
          <w:szCs w:val="24"/>
        </w:rPr>
        <w:t xml:space="preserve">CLÁUSULA 17. – INFORMES EXPORTADOS Y NOTA DE ATRIBUCIÓN: </w:t>
      </w:r>
      <w:r>
        <w:rPr>
          <w:rFonts w:ascii="Times New Roman" w:cs="Times New Roman" w:eastAsia="Times New Roman" w:hAnsi="Times New Roman"/>
          <w:sz w:val="24"/>
          <w:szCs w:val="24"/>
        </w:rPr>
        <w:t xml:space="preserve">La plataforma genera informes y documentos exportables en formatos PDF y Excel, configurables según las necesidades de EL LICENCIATARIO. EL LICENCIANTE garantiza que los informes exportados reflejan fielmente la información registrada en la plataforma al momento de la exportación. La veracidad y calidad de dicha información, así como el uso que se dé a los documentos exportados, son responsabilidad exclusiva de EL LICENCIATARIO. Los informes y documentos generados incluyen una nota de atribución que identifica a CLARACORE como herramienta de generación. EL LICENCIATARIO podrá incorporar dichos documentos a su sistema de gestión documental y aplicar su propia codificación, logos y controles de calidad, pero se obliga a no remover, ocultar ni alterar la nota de atribución. La supresión de dicha nota se considerará alteración del documento generado.</w:t>
      </w:r>
    </w:p>
    <w:p>
      <w:pPr>
        <w:spacing w:after="160" w:before="200"/>
        <w:jc w:val="both"/>
      </w:pPr>
      <w:r>
        <w:rPr>
          <w:rFonts w:ascii="Times New Roman" w:cs="Times New Roman" w:eastAsia="Times New Roman" w:hAnsi="Times New Roman"/>
          <w:b/>
          <w:bCs/>
          <w:sz w:val="24"/>
          <w:szCs w:val="24"/>
        </w:rPr>
        <w:t xml:space="preserve">CLÁUSULA 18. – LIMITACIÓN DE RESPONSABILIDAD: </w:t>
      </w:r>
      <w:r>
        <w:rPr>
          <w:rFonts w:ascii="Times New Roman" w:cs="Times New Roman" w:eastAsia="Times New Roman" w:hAnsi="Times New Roman"/>
          <w:sz w:val="24"/>
          <w:szCs w:val="24"/>
        </w:rPr>
        <w:t xml:space="preserve">La responsabilidad total de EL LICENCIANTE derivada del presente contrato se limita al valor efectivamente pagado por EL LICENCIATARIO durante los tres (3) meses anteriores al hecho que genere la reclamación. EL LICENCIANTE no responde por decisiones técnicas, administrativas o financieras que EL LICENCIATARIO adopte con base en la información registrada en la plataforma, cuya veracidad y calidad es responsabilidad exclusiva de quien la registra.</w:t>
      </w:r>
    </w:p>
    <w:p>
      <w:pPr>
        <w:spacing w:after="200" w:before="400"/>
        <w:jc w:val="center"/>
      </w:pPr>
      <w:r>
        <w:rPr>
          <w:rFonts w:ascii="Times New Roman" w:cs="Times New Roman" w:eastAsia="Times New Roman" w:hAnsi="Times New Roman"/>
          <w:b/>
          <w:bCs/>
          <w:caps/>
          <w:sz w:val="26"/>
          <w:szCs w:val="26"/>
        </w:rPr>
        <w:t xml:space="preserve">CAPÍTULO VI
VIGENCIA Y TERMINACIÓN</w:t>
      </w:r>
    </w:p>
    <w:p>
      <w:pPr>
        <w:spacing w:after="160" w:before="200"/>
        <w:jc w:val="both"/>
      </w:pPr>
      <w:r>
        <w:rPr>
          <w:rFonts w:ascii="Times New Roman" w:cs="Times New Roman" w:eastAsia="Times New Roman" w:hAnsi="Times New Roman"/>
          <w:b/>
          <w:bCs/>
          <w:sz w:val="24"/>
          <w:szCs w:val="24"/>
        </w:rPr>
        <w:t xml:space="preserve">CLÁUSULA 19. – VIGENCIA: </w:t>
      </w:r>
      <w:r>
        <w:rPr>
          <w:rFonts w:ascii="Times New Roman" w:cs="Times New Roman" w:eastAsia="Times New Roman" w:hAnsi="Times New Roman"/>
          <w:sz w:val="24"/>
          <w:szCs w:val="24"/>
        </w:rPr>
        <w:t xml:space="preserve">El presente contrato rige desde el {{FECHA_INICIO}} y tendrá una duración igual a la del contrato u obra identificado en la Cláusula 1, renovándose de manera automática por períodos mensuales mientras subsista la ejecución. Cualquiera de las partes podrá terminarlo mediante aviso escrito notificado antes del inicio del siguiente período mensual de facturación, sin que haya lugar a indemnización, sin perjuicio del pago de los valores causados. Si el aviso se notifica una vez iniciado el período mensual, el contrato terminará al cierre de dicho período, causándose el valor completo del mes en curso.</w:t>
      </w:r>
    </w:p>
    <w:p>
      <w:pPr>
        <w:spacing w:after="160" w:before="200"/>
        <w:jc w:val="both"/>
      </w:pPr>
      <w:r>
        <w:rPr>
          <w:rFonts w:ascii="Times New Roman" w:cs="Times New Roman" w:eastAsia="Times New Roman" w:hAnsi="Times New Roman"/>
          <w:b/>
          <w:bCs/>
          <w:sz w:val="24"/>
          <w:szCs w:val="24"/>
        </w:rPr>
        <w:t xml:space="preserve">CLÁUSULA 20. – TERMINACIÓN ANTICIPADA: </w:t>
      </w:r>
      <w:r>
        <w:rPr>
          <w:rFonts w:ascii="Times New Roman" w:cs="Times New Roman" w:eastAsia="Times New Roman" w:hAnsi="Times New Roman"/>
          <w:sz w:val="24"/>
          <w:szCs w:val="24"/>
        </w:rPr>
        <w:t xml:space="preserve">EL LICENCIANTE podrá terminar el contrato de manera inmediata, mediante comunicación escrita, en caso de: (a) mora superior a sesenta (60) días calendario; (b) incumplimiento de las Cláusulas 11, 12 o 13; o (c) uso de la plataforma para fines ilícitos. Las obligaciones de confidencialidad, no competencia derivada y propiedad intelectual sobreviven a la terminación del contrato.</w:t>
      </w:r>
    </w:p>
    <w:p>
      <w:pPr>
        <w:spacing w:after="200" w:before="400"/>
        <w:jc w:val="center"/>
      </w:pPr>
      <w:r>
        <w:rPr>
          <w:rFonts w:ascii="Times New Roman" w:cs="Times New Roman" w:eastAsia="Times New Roman" w:hAnsi="Times New Roman"/>
          <w:b/>
          <w:bCs/>
          <w:caps/>
          <w:sz w:val="26"/>
          <w:szCs w:val="26"/>
        </w:rPr>
        <w:t xml:space="preserve">CAPÍTULO VII
DISPOSICIONES FINALES</w:t>
      </w:r>
    </w:p>
    <w:p>
      <w:pPr>
        <w:spacing w:after="160" w:before="200"/>
        <w:jc w:val="both"/>
      </w:pPr>
      <w:r>
        <w:rPr>
          <w:rFonts w:ascii="Times New Roman" w:cs="Times New Roman" w:eastAsia="Times New Roman" w:hAnsi="Times New Roman"/>
          <w:b/>
          <w:bCs/>
          <w:sz w:val="24"/>
          <w:szCs w:val="24"/>
        </w:rPr>
        <w:t xml:space="preserve">CLÁUSULA 21. – RESOLUCIÓN DE CONTROVERSIAS: </w:t>
      </w:r>
      <w:r>
        <w:rPr>
          <w:rFonts w:ascii="Times New Roman" w:cs="Times New Roman" w:eastAsia="Times New Roman" w:hAnsi="Times New Roman"/>
          <w:sz w:val="24"/>
          <w:szCs w:val="24"/>
        </w:rPr>
        <w:t xml:space="preserve">Las controversias derivadas del presente contrato se resolverán en primera instancia mediante arreglo directo durante treinta (30) días calendario. De no lograrse acuerdo, serán resueltas por un tribunal arbitral compuesto por un (1) árbitro que decidirá en derecho, designado por el Centro de Arbitraje y Conciliación de la Cámara de Comercio de Bogotá, conforme a sus tarifas y reglas de procedimiento vigentes.</w:t>
      </w:r>
    </w:p>
    <w:p>
      <w:pPr>
        <w:spacing w:after="160" w:before="200"/>
        <w:jc w:val="both"/>
      </w:pPr>
      <w:r>
        <w:rPr>
          <w:rFonts w:ascii="Times New Roman" w:cs="Times New Roman" w:eastAsia="Times New Roman" w:hAnsi="Times New Roman"/>
          <w:b/>
          <w:bCs/>
          <w:sz w:val="24"/>
          <w:szCs w:val="24"/>
        </w:rPr>
        <w:t xml:space="preserve">CLÁUSULA 22. – INDEPENDENCIA: </w:t>
      </w:r>
      <w:r>
        <w:rPr>
          <w:rFonts w:ascii="Times New Roman" w:cs="Times New Roman" w:eastAsia="Times New Roman" w:hAnsi="Times New Roman"/>
          <w:sz w:val="24"/>
          <w:szCs w:val="24"/>
        </w:rPr>
        <w:t xml:space="preserve">El presente contrato no constituye sociedad, mandato, agencia comercial ni relación laboral alguna entre las partes ni entre EL LICENCIANTE y el personal del LICENCIATARIO.</w:t>
      </w:r>
    </w:p>
    <w:p>
      <w:pPr>
        <w:spacing w:after="160" w:before="200"/>
        <w:jc w:val="both"/>
      </w:pPr>
      <w:r>
        <w:rPr>
          <w:rFonts w:ascii="Times New Roman" w:cs="Times New Roman" w:eastAsia="Times New Roman" w:hAnsi="Times New Roman"/>
          <w:b/>
          <w:bCs/>
          <w:sz w:val="24"/>
          <w:szCs w:val="24"/>
        </w:rPr>
        <w:t xml:space="preserve">CLÁUSULA 23. – INTEGRIDAD Y MODIFICACIONES: </w:t>
      </w:r>
      <w:r>
        <w:rPr>
          <w:rFonts w:ascii="Times New Roman" w:cs="Times New Roman" w:eastAsia="Times New Roman" w:hAnsi="Times New Roman"/>
          <w:sz w:val="24"/>
          <w:szCs w:val="24"/>
        </w:rPr>
        <w:t xml:space="preserve">Este contrato, junto con la propuesta económica aceptada, constituye el acuerdo íntegro entre las partes y solo podrá modificarse mediante documento escrito firmado por ambas. Si alguna cláusula fuere declarada inválida, las demás conservarán plena vigencia.</w:t>
      </w:r>
    </w:p>
    <w:p>
      <w:pPr>
        <w:spacing w:after="160" w:before="200"/>
        <w:jc w:val="both"/>
      </w:pPr>
      <w:r>
        <w:rPr>
          <w:rFonts w:ascii="Times New Roman" w:cs="Times New Roman" w:eastAsia="Times New Roman" w:hAnsi="Times New Roman"/>
          <w:b/>
          <w:bCs/>
          <w:sz w:val="24"/>
          <w:szCs w:val="24"/>
        </w:rPr>
        <w:t xml:space="preserve">CLÁUSULA 24. – NOTIFICACIONES: </w:t>
      </w:r>
      <w:r>
        <w:rPr>
          <w:rFonts w:ascii="Times New Roman" w:cs="Times New Roman" w:eastAsia="Times New Roman" w:hAnsi="Times New Roman"/>
          <w:sz w:val="24"/>
          <w:szCs w:val="24"/>
        </w:rPr>
        <w:t xml:space="preserve">Las notificaciones se realizarán por escrito a los correos electrónicos registrados por las partes: EL LICENCIANTE en ajaimes@claracore.co y EL LICENCIATARIO en </w:t>
      </w:r>
      <w:r>
        <w:rPr>
          <w:rFonts w:ascii="Times New Roman" w:cs="Times New Roman" w:eastAsia="Times New Roman" w:hAnsi="Times New Roman"/>
          <w:b/>
          <w:bCs/>
          <w:sz w:val="24"/>
          <w:szCs w:val="24"/>
          <w:highlight w:val="yellow"/>
        </w:rPr>
        <w:t xml:space="preserve">{{LIC_EMAIL}}</w:t>
      </w:r>
      <w:r>
        <w:rPr>
          <w:rFonts w:ascii="Times New Roman" w:cs="Times New Roman" w:eastAsia="Times New Roman" w:hAnsi="Times New Roman"/>
          <w:sz w:val="24"/>
          <w:szCs w:val="24"/>
        </w:rPr>
        <w:t xml:space="preserve">.</w:t>
      </w:r>
    </w:p>
    <w:p>
      <w:pPr>
        <w:spacing w:after="200" w:before="400"/>
        <w:jc w:val="center"/>
      </w:pPr>
      <w:r>
        <w:rPr>
          <w:rFonts w:ascii="Times New Roman" w:cs="Times New Roman" w:eastAsia="Times New Roman" w:hAnsi="Times New Roman"/>
          <w:b/>
          <w:bCs/>
          <w:caps/>
          <w:sz w:val="26"/>
          <w:szCs w:val="26"/>
        </w:rPr>
        <w:t xml:space="preserve">FIRMAS</w:t>
      </w:r>
    </w:p>
    <w:p>
      <w:pPr>
        <w:spacing w:after="160"/>
        <w:jc w:val="both"/>
      </w:pPr>
      <w:r>
        <w:rPr>
          <w:rFonts w:ascii="Times New Roman" w:cs="Times New Roman" w:eastAsia="Times New Roman" w:hAnsi="Times New Roman"/>
          <w:sz w:val="24"/>
          <w:szCs w:val="24"/>
        </w:rPr>
        <w:t xml:space="preserve">En constancia de lo anterior, las partes suscriben el presente contrato en dos (2) ejemplares del mismo tenor, en la ciudad de Bogotá D.C., en la fecha {{FECHA_GENERACION}}.</w:t>
      </w:r>
    </w:p>
    <w:p>
      <w:pPr>
        <w:spacing w:after="600"/>
        <w:jc w:val="both"/>
      </w:pPr>
      <w:r>
        <w:rPr>
          <w:rFonts w:ascii="Times New Roman" w:cs="Times New Roman" w:eastAsia="Times New Roman" w:hAnsi="Times New Roman"/>
          <w:sz w:val="24"/>
          <w:szCs w:val="24"/>
        </w:rPr>
        <w:t xml:space="preserve"/>
      </w:r>
    </w:p>
    <w:tbl>
      <w:tblPr>
        <w:tblW w:type="dxa" w:w="9360"/>
        <w:tblBorders>
          <w:top w:val="none"/>
          <w:left w:val="none"/>
          <w:bottom w:val="none"/>
          <w:right w:val="none"/>
          <w:insideH w:val="single" w:color="auto" w:sz="4"/>
          <w:insideV w:val="single" w:color="auto" w:sz="4"/>
        </w:tblBorders>
      </w:tblPr>
      <w:tblGrid>
        <w:gridCol w:w="4500"/>
        <w:gridCol w:w="360"/>
        <w:gridCol w:w="4500"/>
      </w:tblGrid>
      <w:tr>
        <w:tc>
          <w:tcPr>
            <w:tcW w:type="dxa" w:w="4500"/>
            <w:tcBorders>
              <w:top w:val="single" w:color="000000" w:sz="1"/>
              <w:left w:val="none"/>
              <w:bottom w:val="none"/>
              <w:right w:val="none"/>
            </w:tcBorders>
          </w:tcPr>
          <w:p>
            <w:pPr>
              <w:jc w:val="center"/>
            </w:pPr>
            <w:r>
              <w:rPr>
                <w:rFonts w:ascii="Times New Roman" w:cs="Times New Roman" w:eastAsia="Times New Roman" w:hAnsi="Times New Roman"/>
                <w:b/>
                <w:bCs/>
                <w:sz w:val="24"/>
                <w:szCs w:val="24"/>
              </w:rPr>
              <w:t xml:space="preserve">EL LICENCIANTE</w:t>
            </w:r>
          </w:p>
          <w:p>
            <w:pPr>
              <w:jc w:val="center"/>
            </w:pPr>
            <w:r>
              <w:rPr>
                <w:rFonts w:ascii="Times New Roman" w:cs="Times New Roman" w:eastAsia="Times New Roman" w:hAnsi="Times New Roman"/>
                <w:sz w:val="24"/>
                <w:szCs w:val="24"/>
              </w:rPr>
              <w:t xml:space="preserve">Jorge Andrés Jaimes Arenas</w:t>
            </w:r>
          </w:p>
          <w:p>
            <w:pPr>
              <w:jc w:val="center"/>
            </w:pPr>
            <w:r>
              <w:rPr>
                <w:rFonts w:ascii="Times New Roman" w:cs="Times New Roman" w:eastAsia="Times New Roman" w:hAnsi="Times New Roman"/>
                <w:sz w:val="24"/>
                <w:szCs w:val="24"/>
              </w:rPr>
              <w:t xml:space="preserve">C.C. N.° 80.071.406 de Bogotá</w:t>
            </w:r>
          </w:p>
          <w:p>
            <w:pPr>
              <w:jc w:val="center"/>
            </w:pPr>
            <w:r>
              <w:rPr>
                <w:rFonts w:ascii="Times New Roman" w:cs="Times New Roman" w:eastAsia="Times New Roman" w:hAnsi="Times New Roman"/>
                <w:sz w:val="24"/>
                <w:szCs w:val="24"/>
              </w:rPr>
              <w:t xml:space="preserve">Representante Legal</w:t>
            </w:r>
          </w:p>
          <w:p>
            <w:pPr>
              <w:jc w:val="center"/>
            </w:pPr>
            <w:r>
              <w:rPr>
                <w:rFonts w:ascii="Times New Roman" w:cs="Times New Roman" w:eastAsia="Times New Roman" w:hAnsi="Times New Roman"/>
                <w:sz w:val="24"/>
                <w:szCs w:val="24"/>
              </w:rPr>
              <w:t xml:space="preserve">CLARACORE SOLUTIONS S.A.S.</w:t>
            </w:r>
          </w:p>
          <w:p>
            <w:pPr>
              <w:jc w:val="center"/>
            </w:pPr>
            <w:r>
              <w:rPr>
                <w:rFonts w:ascii="Times New Roman" w:cs="Times New Roman" w:eastAsia="Times New Roman" w:hAnsi="Times New Roman"/>
                <w:sz w:val="24"/>
                <w:szCs w:val="24"/>
              </w:rPr>
              <w:t xml:space="preserve">NIT {{CLARACORE_NIT}}</w:t>
            </w:r>
          </w:p>
        </w:tc>
        <w:tc>
          <w:tcPr>
            <w:tcW w:type="dxa" w:w="360"/>
            <w:tcBorders>
              <w:top w:val="none"/>
              <w:left w:val="none"/>
              <w:bottom w:val="none"/>
              <w:right w:val="none"/>
            </w:tcBorders>
          </w:tcPr>
          <w:p>
            <w:r>
              <w:rPr>
                <w:rFonts w:ascii="Times New Roman" w:cs="Times New Roman" w:eastAsia="Times New Roman" w:hAnsi="Times New Roman"/>
                <w:sz w:val="24"/>
                <w:szCs w:val="24"/>
              </w:rPr>
              <w:t xml:space="preserve"/>
            </w:r>
          </w:p>
        </w:tc>
        <w:tc>
          <w:tcPr>
            <w:tcW w:type="dxa" w:w="4500"/>
            <w:tcBorders>
              <w:top w:val="single" w:color="000000" w:sz="1"/>
              <w:left w:val="none"/>
              <w:bottom w:val="none"/>
              <w:right w:val="none"/>
            </w:tcBorders>
          </w:tcPr>
          <w:p>
            <w:pPr>
              <w:jc w:val="center"/>
            </w:pPr>
            <w:r>
              <w:rPr>
                <w:rFonts w:ascii="Times New Roman" w:cs="Times New Roman" w:eastAsia="Times New Roman" w:hAnsi="Times New Roman"/>
                <w:b/>
                <w:bCs/>
                <w:sz w:val="24"/>
                <w:szCs w:val="24"/>
              </w:rPr>
              <w:t xml:space="preserve">EL LICENCIATARIO</w:t>
            </w:r>
          </w:p>
          <w:p>
            <w:pPr>
              <w:jc w:val="center"/>
            </w:pPr>
            <w:r>
              <w:rPr>
                <w:rFonts w:ascii="Times New Roman" w:cs="Times New Roman" w:eastAsia="Times New Roman" w:hAnsi="Times New Roman"/>
                <w:sz w:val="24"/>
                <w:szCs w:val="24"/>
                <w:highlight w:val="yellow"/>
              </w:rPr>
              <w:t xml:space="preserve">{{LIC_REPRESENTANTE}}</w:t>
            </w:r>
          </w:p>
          <w:p>
            <w:pPr>
              <w:jc w:val="center"/>
            </w:pPr>
            <w:r>
              <w:rPr>
                <w:rFonts w:ascii="Times New Roman" w:cs="Times New Roman" w:eastAsia="Times New Roman" w:hAnsi="Times New Roman"/>
                <w:sz w:val="24"/>
                <w:szCs w:val="24"/>
              </w:rPr>
              <w:t xml:space="preserve">C.C. N.° {{LIC_CEDULA}}</w:t>
            </w:r>
          </w:p>
          <w:p>
            <w:pPr>
              <w:jc w:val="center"/>
            </w:pPr>
            <w:r>
              <w:rPr>
                <w:rFonts w:ascii="Times New Roman" w:cs="Times New Roman" w:eastAsia="Times New Roman" w:hAnsi="Times New Roman"/>
                <w:sz w:val="24"/>
                <w:szCs w:val="24"/>
              </w:rPr>
              <w:t xml:space="preserve">Representante Legal</w:t>
            </w:r>
          </w:p>
          <w:p>
            <w:pPr>
              <w:jc w:val="center"/>
            </w:pPr>
            <w:r>
              <w:rPr>
                <w:rFonts w:ascii="Times New Roman" w:cs="Times New Roman" w:eastAsia="Times New Roman" w:hAnsi="Times New Roman"/>
                <w:sz w:val="24"/>
                <w:szCs w:val="24"/>
                <w:highlight w:val="yellow"/>
              </w:rPr>
              <w:t xml:space="preserve">{{LIC_RAZON_SOCIAL}}</w:t>
            </w:r>
          </w:p>
          <w:p>
            <w:pPr>
              <w:jc w:val="center"/>
            </w:pPr>
            <w:r>
              <w:rPr>
                <w:rFonts w:ascii="Times New Roman" w:cs="Times New Roman" w:eastAsia="Times New Roman" w:hAnsi="Times New Roman"/>
                <w:sz w:val="24"/>
                <w:szCs w:val="24"/>
              </w:rPr>
              <w:t xml:space="preserve">NIT {{LIC_NIT}}</w:t>
            </w:r>
          </w:p>
        </w:tc>
      </w:tr>
    </w:tbl>
    <w:p>
      <w:pPr>
        <w:spacing w:after="400"/>
        <w:jc w:val="both"/>
      </w:pPr>
      <w:r>
        <w:rPr>
          <w:rFonts w:ascii="Times New Roman" w:cs="Times New Roman" w:eastAsia="Times New Roman" w:hAnsi="Times New Roman"/>
          <w:sz w:val="24"/>
          <w:szCs w:val="24"/>
        </w:rPr>
        <w:t xml:space="preserve"/>
      </w:r>
    </w:p>
    <w:p>
      <w:pPr>
        <w:pBdr>
          <w:top w:val="single" w:color="AAAAAA" w:sz="4" w:space="6"/>
        </w:pBdr>
        <w:spacing w:before="400"/>
        <w:jc w:val="both"/>
      </w:pPr>
      <w:r>
        <w:rPr>
          <w:rFonts w:ascii="Times New Roman" w:cs="Times New Roman" w:eastAsia="Times New Roman" w:hAnsi="Times New Roman"/>
          <w:sz w:val="24"/>
          <w:szCs w:val="24"/>
        </w:rPr>
        <w:t xml:space="preserve">Nota técnica: Los marcadores {{...}} son placeholders que la plataforma reemplaza automáticamente al generar el PDF. Esta nota no debe aparecer en el documento final generado.</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spacing w:before="120"/>
      <w:jc w:val="center"/>
    </w:pPr>
    <w:r>
      <w:rPr>
        <w:rFonts w:ascii="Times New Roman" w:cs="Times New Roman" w:eastAsia="Times New Roman" w:hAnsi="Times New Roman"/>
        <w:color w:val="666666"/>
        <w:sz w:val="18"/>
        <w:szCs w:val="18"/>
      </w:rPr>
      <w:t xml:space="preserve">Contrato de Licencia de Uso · Plataforma ClaraCore · CLARACORE SOLUTIONS S.A.S. · Página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de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Letter"/>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Letter"/>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lowerLetter"/>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2026-07-05T12:50:35.803Z</dcterms:created>
  <dcterms:modified xsi:type="dcterms:W3CDTF">2026-07-05T12:50:35.820Z</dcterms:modified>
</cp:coreProperties>
</file>

<file path=docProps/custom.xml><?xml version="1.0" encoding="utf-8"?>
<Properties xmlns="http://schemas.openxmlformats.org/officeDocument/2006/custom-properties" xmlns:vt="http://schemas.openxmlformats.org/officeDocument/2006/docPropsVTypes"/>
</file>