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1736"/>
        <w:gridCol w:w="3996"/>
        <w:gridCol w:w="1514"/>
      </w:tblGrid>
      <w:tr w14:paraId="45AF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4"/>
            <w:tcBorders>
              <w:top w:val="nil"/>
              <w:left w:val="nil"/>
              <w:bottom w:val="nil"/>
              <w:right w:val="nil"/>
            </w:tcBorders>
          </w:tcPr>
          <w:p w14:paraId="17CF82D7">
            <w:pPr>
              <w:pStyle w:val="8"/>
              <w:rPr>
                <w:sz w:val="44"/>
              </w:rPr>
            </w:pPr>
          </w:p>
        </w:tc>
      </w:tr>
      <w:tr w14:paraId="4591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7" w:hRule="atLeast"/>
          <w:jc w:val="center"/>
        </w:trPr>
        <w:tc>
          <w:tcPr>
            <w:tcW w:w="9135" w:type="dxa"/>
            <w:gridSpan w:val="4"/>
            <w:tcBorders>
              <w:top w:val="nil"/>
              <w:left w:val="nil"/>
              <w:bottom w:val="nil"/>
              <w:right w:val="nil"/>
            </w:tcBorders>
          </w:tcPr>
          <w:p w14:paraId="6F8A02CE">
            <w:pPr>
              <w:pStyle w:val="11"/>
              <w:rPr>
                <w:rFonts w:hint="default" w:eastAsia="宋体"/>
                <w:b/>
                <w:color w:val="000000"/>
                <w:lang w:val="en-US" w:eastAsia="zh-CN"/>
              </w:rPr>
            </w:pPr>
            <w:r>
              <w:rPr>
                <w:rFonts w:hint="eastAsia" w:eastAsia="宋体"/>
                <w:color w:val="000000"/>
                <w:lang w:eastAsia="zh-CN"/>
              </w:rPr>
              <w:drawing>
                <wp:inline distT="0" distB="0" distL="114300" distR="114300">
                  <wp:extent cx="4578350" cy="1072515"/>
                  <wp:effectExtent l="0" t="0" r="12700" b="13335"/>
                  <wp:docPr id="4" name="图片 4" descr="闄勪欢1锛氬鏍℃í鐗坙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闄勪欢1锛氬鏍℃í鐗坙ogo"/>
                          <pic:cNvPicPr>
                            <a:picLocks noChangeAspect="1"/>
                          </pic:cNvPicPr>
                        </pic:nvPicPr>
                        <pic:blipFill>
                          <a:blip r:embed="rId4"/>
                          <a:stretch>
                            <a:fillRect/>
                          </a:stretch>
                        </pic:blipFill>
                        <pic:spPr>
                          <a:xfrm>
                            <a:off x="0" y="0"/>
                            <a:ext cx="4578350" cy="1072515"/>
                          </a:xfrm>
                          <a:prstGeom prst="rect">
                            <a:avLst/>
                          </a:prstGeom>
                        </pic:spPr>
                      </pic:pic>
                    </a:graphicData>
                  </a:graphic>
                </wp:inline>
              </w:drawing>
            </w:r>
          </w:p>
        </w:tc>
      </w:tr>
      <w:tr w14:paraId="64A7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3" w:hRule="atLeast"/>
          <w:jc w:val="center"/>
        </w:trPr>
        <w:tc>
          <w:tcPr>
            <w:tcW w:w="9135" w:type="dxa"/>
            <w:gridSpan w:val="4"/>
            <w:tcBorders>
              <w:top w:val="nil"/>
              <w:left w:val="nil"/>
              <w:bottom w:val="nil"/>
              <w:right w:val="nil"/>
            </w:tcBorders>
          </w:tcPr>
          <w:p w14:paraId="2BD2897C">
            <w:pPr>
              <w:adjustRightInd w:val="0"/>
              <w:snapToGrid w:val="0"/>
              <w:spacing w:line="360" w:lineRule="auto"/>
              <w:jc w:val="center"/>
              <w:rPr>
                <w:rFonts w:hint="eastAsia"/>
                <w:b/>
                <w:color w:val="000000"/>
                <w:sz w:val="56"/>
                <w:szCs w:val="56"/>
                <w:lang w:val="en-US" w:eastAsia="zh-CN"/>
              </w:rPr>
            </w:pPr>
            <w:r>
              <w:rPr>
                <w:rFonts w:hint="eastAsia"/>
                <w:b/>
                <w:color w:val="000000"/>
                <w:sz w:val="56"/>
                <w:szCs w:val="56"/>
                <w:lang w:val="en-US" w:eastAsia="zh-CN"/>
              </w:rPr>
              <w:t>工程管理</w:t>
            </w:r>
          </w:p>
          <w:p w14:paraId="012352A4">
            <w:pPr>
              <w:adjustRightInd w:val="0"/>
              <w:snapToGrid w:val="0"/>
              <w:spacing w:line="360" w:lineRule="auto"/>
              <w:jc w:val="center"/>
              <w:rPr>
                <w:color w:val="000000"/>
                <w:sz w:val="44"/>
              </w:rPr>
            </w:pPr>
            <w:r>
              <w:rPr>
                <w:rFonts w:hint="eastAsia"/>
                <w:b/>
                <w:color w:val="000000"/>
                <w:sz w:val="72"/>
                <w:szCs w:val="72"/>
                <w:lang w:val="en-US" w:eastAsia="zh-CN"/>
              </w:rPr>
              <w:t>课 程 报 告</w:t>
            </w:r>
          </w:p>
        </w:tc>
      </w:tr>
      <w:tr w14:paraId="4A64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6" w:hRule="atLeast"/>
          <w:jc w:val="center"/>
        </w:trPr>
        <w:tc>
          <w:tcPr>
            <w:tcW w:w="9135" w:type="dxa"/>
            <w:gridSpan w:val="4"/>
            <w:tcBorders>
              <w:top w:val="nil"/>
              <w:left w:val="nil"/>
              <w:bottom w:val="nil"/>
              <w:right w:val="nil"/>
            </w:tcBorders>
          </w:tcPr>
          <w:p w14:paraId="65F27C45">
            <w:pPr>
              <w:pStyle w:val="10"/>
            </w:pPr>
          </w:p>
        </w:tc>
      </w:tr>
      <w:tr w14:paraId="3048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889" w:type="dxa"/>
            <w:tcBorders>
              <w:top w:val="nil"/>
              <w:left w:val="nil"/>
              <w:bottom w:val="nil"/>
              <w:right w:val="nil"/>
            </w:tcBorders>
            <w:vAlign w:val="center"/>
          </w:tcPr>
          <w:p w14:paraId="0E908717">
            <w:pPr>
              <w:adjustRightInd w:val="0"/>
              <w:snapToGrid w:val="0"/>
              <w:rPr>
                <w:rFonts w:hint="eastAsia" w:eastAsia="楷体_GB2312"/>
                <w:color w:val="000000"/>
                <w:sz w:val="52"/>
              </w:rPr>
            </w:pPr>
          </w:p>
        </w:tc>
        <w:tc>
          <w:tcPr>
            <w:tcW w:w="1736" w:type="dxa"/>
            <w:tcBorders>
              <w:top w:val="nil"/>
              <w:left w:val="nil"/>
              <w:bottom w:val="nil"/>
              <w:right w:val="nil"/>
            </w:tcBorders>
            <w:vAlign w:val="center"/>
          </w:tcPr>
          <w:p w14:paraId="2B99815D">
            <w:pPr>
              <w:pStyle w:val="12"/>
              <w:ind w:firstLine="0" w:firstLineChars="0"/>
              <w:jc w:val="center"/>
              <w:rPr>
                <w:rFonts w:hint="eastAsia" w:eastAsia="宋体"/>
                <w:lang w:val="en-US" w:eastAsia="zh-CN"/>
              </w:rPr>
            </w:pPr>
            <w:r>
              <w:rPr>
                <w:rFonts w:hint="eastAsia"/>
                <w:lang w:val="en-US" w:eastAsia="zh-CN"/>
              </w:rPr>
              <w:t>学   院：</w:t>
            </w:r>
          </w:p>
        </w:tc>
        <w:tc>
          <w:tcPr>
            <w:tcW w:w="3996" w:type="dxa"/>
            <w:tcBorders>
              <w:top w:val="nil"/>
              <w:left w:val="nil"/>
              <w:bottom w:val="nil"/>
              <w:right w:val="nil"/>
            </w:tcBorders>
            <w:vAlign w:val="center"/>
          </w:tcPr>
          <w:p w14:paraId="794C44C5">
            <w:pPr>
              <w:pStyle w:val="12"/>
              <w:ind w:firstLine="0" w:firstLineChars="0"/>
              <w:jc w:val="center"/>
              <w:rPr>
                <w:rFonts w:hint="default"/>
                <w:spacing w:val="20"/>
                <w:u w:val="single"/>
                <w:lang w:val="en-US" w:eastAsia="zh-CN"/>
              </w:rPr>
            </w:pPr>
            <w:r>
              <w:rPr>
                <w:rFonts w:hint="eastAsia"/>
                <w:spacing w:val="20"/>
                <w:u w:val="single"/>
                <w:lang w:val="en-US" w:eastAsia="zh-CN"/>
              </w:rPr>
              <w:t>先进制造学院</w:t>
            </w:r>
          </w:p>
        </w:tc>
        <w:tc>
          <w:tcPr>
            <w:tcW w:w="1514" w:type="dxa"/>
            <w:tcBorders>
              <w:top w:val="nil"/>
              <w:left w:val="nil"/>
              <w:bottom w:val="nil"/>
              <w:right w:val="nil"/>
            </w:tcBorders>
            <w:vAlign w:val="center"/>
          </w:tcPr>
          <w:p w14:paraId="7A34D87B">
            <w:pPr>
              <w:adjustRightInd w:val="0"/>
              <w:snapToGrid w:val="0"/>
              <w:rPr>
                <w:rFonts w:hint="eastAsia" w:eastAsia="楷体_GB2312"/>
                <w:color w:val="000000"/>
                <w:sz w:val="52"/>
              </w:rPr>
            </w:pPr>
          </w:p>
        </w:tc>
      </w:tr>
      <w:tr w14:paraId="0139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889" w:type="dxa"/>
            <w:vMerge w:val="restart"/>
            <w:tcBorders>
              <w:top w:val="nil"/>
              <w:left w:val="nil"/>
              <w:bottom w:val="nil"/>
              <w:right w:val="nil"/>
            </w:tcBorders>
            <w:vAlign w:val="center"/>
          </w:tcPr>
          <w:p w14:paraId="63A68FD5">
            <w:pPr>
              <w:adjustRightInd w:val="0"/>
              <w:snapToGrid w:val="0"/>
              <w:rPr>
                <w:rFonts w:hint="eastAsia" w:eastAsia="楷体_GB2312"/>
                <w:color w:val="000000"/>
                <w:sz w:val="52"/>
              </w:rPr>
            </w:pPr>
          </w:p>
        </w:tc>
        <w:tc>
          <w:tcPr>
            <w:tcW w:w="1736" w:type="dxa"/>
            <w:tcBorders>
              <w:top w:val="nil"/>
              <w:left w:val="nil"/>
              <w:bottom w:val="nil"/>
              <w:right w:val="nil"/>
            </w:tcBorders>
            <w:vAlign w:val="center"/>
          </w:tcPr>
          <w:p w14:paraId="3CC3B522">
            <w:pPr>
              <w:pStyle w:val="12"/>
              <w:ind w:firstLine="0" w:firstLineChars="0"/>
              <w:jc w:val="center"/>
              <w:rPr>
                <w:rFonts w:hint="default" w:eastAsia="宋体"/>
                <w:u w:val="single"/>
                <w:lang w:val="en-US" w:eastAsia="zh-CN"/>
              </w:rPr>
            </w:pPr>
            <w:r>
              <w:rPr>
                <w:rFonts w:hint="eastAsia"/>
                <w:lang w:val="en-US" w:eastAsia="zh-CN"/>
              </w:rPr>
              <w:t>专   业</w:t>
            </w:r>
            <w:r>
              <w:rPr>
                <w:rFonts w:hint="eastAsia"/>
              </w:rPr>
              <w:t>：</w:t>
            </w:r>
          </w:p>
        </w:tc>
        <w:tc>
          <w:tcPr>
            <w:tcW w:w="3996" w:type="dxa"/>
            <w:tcBorders>
              <w:top w:val="nil"/>
              <w:left w:val="nil"/>
              <w:bottom w:val="nil"/>
              <w:right w:val="nil"/>
            </w:tcBorders>
            <w:vAlign w:val="center"/>
          </w:tcPr>
          <w:p w14:paraId="3DE5D3F7">
            <w:pPr>
              <w:pStyle w:val="12"/>
              <w:ind w:firstLine="0" w:firstLineChars="0"/>
              <w:jc w:val="center"/>
              <w:rPr>
                <w:spacing w:val="20"/>
              </w:rPr>
            </w:pPr>
            <w:r>
              <w:rPr>
                <w:rFonts w:hint="eastAsia"/>
                <w:spacing w:val="20"/>
                <w:u w:val="single"/>
                <w:lang w:val="en-US" w:eastAsia="zh-CN"/>
              </w:rPr>
              <w:t>人工智能</w:t>
            </w:r>
          </w:p>
        </w:tc>
        <w:tc>
          <w:tcPr>
            <w:tcW w:w="1514" w:type="dxa"/>
            <w:vMerge w:val="restart"/>
            <w:tcBorders>
              <w:top w:val="nil"/>
              <w:left w:val="nil"/>
              <w:bottom w:val="nil"/>
              <w:right w:val="nil"/>
            </w:tcBorders>
            <w:vAlign w:val="center"/>
          </w:tcPr>
          <w:p w14:paraId="685FBF0C">
            <w:pPr>
              <w:adjustRightInd w:val="0"/>
              <w:snapToGrid w:val="0"/>
              <w:rPr>
                <w:rFonts w:hint="eastAsia" w:eastAsia="楷体_GB2312"/>
                <w:color w:val="000000"/>
                <w:sz w:val="52"/>
              </w:rPr>
            </w:pPr>
          </w:p>
        </w:tc>
      </w:tr>
      <w:tr w14:paraId="7ED9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889" w:type="dxa"/>
            <w:vMerge w:val="continue"/>
            <w:tcBorders>
              <w:top w:val="nil"/>
              <w:left w:val="nil"/>
              <w:bottom w:val="nil"/>
              <w:right w:val="nil"/>
            </w:tcBorders>
            <w:vAlign w:val="center"/>
          </w:tcPr>
          <w:p w14:paraId="375D3966">
            <w:pPr>
              <w:widowControl/>
              <w:jc w:val="left"/>
              <w:rPr>
                <w:rFonts w:eastAsia="楷体_GB2312"/>
                <w:color w:val="000000"/>
                <w:sz w:val="52"/>
              </w:rPr>
            </w:pPr>
          </w:p>
        </w:tc>
        <w:tc>
          <w:tcPr>
            <w:tcW w:w="1736" w:type="dxa"/>
            <w:tcBorders>
              <w:top w:val="nil"/>
              <w:left w:val="nil"/>
              <w:bottom w:val="nil"/>
              <w:right w:val="nil"/>
            </w:tcBorders>
            <w:vAlign w:val="center"/>
          </w:tcPr>
          <w:p w14:paraId="3047A45E">
            <w:pPr>
              <w:pStyle w:val="12"/>
              <w:ind w:firstLine="0" w:firstLineChars="0"/>
              <w:jc w:val="center"/>
            </w:pPr>
            <w:r>
              <w:rPr>
                <w:rFonts w:hint="eastAsia"/>
                <w:lang w:val="en-US" w:eastAsia="zh-CN"/>
              </w:rPr>
              <w:t>班   级</w:t>
            </w:r>
            <w:r>
              <w:rPr>
                <w:rFonts w:hint="eastAsia"/>
              </w:rPr>
              <w:t>：</w:t>
            </w:r>
          </w:p>
        </w:tc>
        <w:tc>
          <w:tcPr>
            <w:tcW w:w="3996" w:type="dxa"/>
            <w:tcBorders>
              <w:top w:val="nil"/>
              <w:left w:val="nil"/>
              <w:bottom w:val="nil"/>
              <w:right w:val="nil"/>
            </w:tcBorders>
            <w:vAlign w:val="center"/>
          </w:tcPr>
          <w:p w14:paraId="4A4C0B5F">
            <w:pPr>
              <w:pStyle w:val="12"/>
              <w:ind w:firstLine="0" w:firstLineChars="0"/>
              <w:jc w:val="center"/>
              <w:rPr>
                <w:rFonts w:hint="default" w:eastAsia="宋体"/>
                <w:u w:val="single"/>
                <w:lang w:val="en-US" w:eastAsia="zh-CN"/>
              </w:rPr>
            </w:pPr>
            <w:r>
              <w:rPr>
                <w:rFonts w:hint="eastAsia"/>
                <w:u w:val="single"/>
                <w:lang w:val="en-US" w:eastAsia="zh-CN"/>
              </w:rPr>
              <w:t>2022级三班</w:t>
            </w:r>
          </w:p>
        </w:tc>
        <w:tc>
          <w:tcPr>
            <w:tcW w:w="1514" w:type="dxa"/>
            <w:vMerge w:val="continue"/>
            <w:tcBorders>
              <w:top w:val="nil"/>
              <w:left w:val="nil"/>
              <w:bottom w:val="nil"/>
              <w:right w:val="nil"/>
            </w:tcBorders>
            <w:vAlign w:val="center"/>
          </w:tcPr>
          <w:p w14:paraId="7BA7567D">
            <w:pPr>
              <w:widowControl/>
              <w:jc w:val="distribute"/>
              <w:rPr>
                <w:rFonts w:eastAsia="楷体_GB2312"/>
                <w:color w:val="000000"/>
                <w:sz w:val="52"/>
              </w:rPr>
            </w:pPr>
          </w:p>
        </w:tc>
      </w:tr>
      <w:tr w14:paraId="01470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889" w:type="dxa"/>
            <w:vMerge w:val="continue"/>
            <w:tcBorders>
              <w:top w:val="nil"/>
              <w:left w:val="nil"/>
              <w:bottom w:val="nil"/>
              <w:right w:val="nil"/>
            </w:tcBorders>
            <w:vAlign w:val="center"/>
          </w:tcPr>
          <w:p w14:paraId="0CCE82D0">
            <w:pPr>
              <w:widowControl/>
              <w:jc w:val="left"/>
              <w:rPr>
                <w:rFonts w:eastAsia="楷体_GB2312"/>
                <w:color w:val="000000"/>
                <w:sz w:val="52"/>
              </w:rPr>
            </w:pPr>
          </w:p>
        </w:tc>
        <w:tc>
          <w:tcPr>
            <w:tcW w:w="1736" w:type="dxa"/>
            <w:tcBorders>
              <w:top w:val="nil"/>
              <w:left w:val="nil"/>
              <w:bottom w:val="nil"/>
              <w:right w:val="nil"/>
            </w:tcBorders>
            <w:vAlign w:val="center"/>
          </w:tcPr>
          <w:p w14:paraId="21B220F1">
            <w:pPr>
              <w:pStyle w:val="12"/>
              <w:ind w:firstLine="0" w:firstLineChars="0"/>
              <w:jc w:val="center"/>
            </w:pPr>
            <w:r>
              <w:rPr>
                <w:rFonts w:hint="eastAsia"/>
                <w:lang w:val="en-US" w:eastAsia="zh-CN"/>
              </w:rPr>
              <w:t>姓   名</w:t>
            </w:r>
            <w:r>
              <w:rPr>
                <w:rFonts w:hint="eastAsia"/>
              </w:rPr>
              <w:t>：</w:t>
            </w:r>
          </w:p>
        </w:tc>
        <w:tc>
          <w:tcPr>
            <w:tcW w:w="3996" w:type="dxa"/>
            <w:tcBorders>
              <w:top w:val="nil"/>
              <w:left w:val="nil"/>
              <w:bottom w:val="nil"/>
              <w:right w:val="nil"/>
            </w:tcBorders>
            <w:vAlign w:val="center"/>
          </w:tcPr>
          <w:p w14:paraId="6FE737CE">
            <w:pPr>
              <w:pStyle w:val="12"/>
              <w:ind w:firstLine="0" w:firstLineChars="0"/>
              <w:jc w:val="center"/>
              <w:rPr>
                <w:rFonts w:hint="default" w:eastAsia="宋体"/>
                <w:u w:val="single"/>
                <w:lang w:val="en-US" w:eastAsia="zh-CN"/>
              </w:rPr>
            </w:pPr>
            <w:r>
              <w:rPr>
                <w:rFonts w:hint="eastAsia"/>
                <w:u w:val="single"/>
                <w:lang w:val="en-US" w:eastAsia="zh-CN"/>
              </w:rPr>
              <w:t>施乔</w:t>
            </w:r>
          </w:p>
        </w:tc>
        <w:tc>
          <w:tcPr>
            <w:tcW w:w="1514" w:type="dxa"/>
            <w:vMerge w:val="continue"/>
            <w:tcBorders>
              <w:top w:val="nil"/>
              <w:left w:val="nil"/>
              <w:bottom w:val="nil"/>
              <w:right w:val="nil"/>
            </w:tcBorders>
            <w:vAlign w:val="center"/>
          </w:tcPr>
          <w:p w14:paraId="2A5F5962">
            <w:pPr>
              <w:widowControl/>
              <w:jc w:val="distribute"/>
              <w:rPr>
                <w:rFonts w:eastAsia="楷体_GB2312"/>
                <w:color w:val="000000"/>
                <w:sz w:val="52"/>
              </w:rPr>
            </w:pPr>
          </w:p>
        </w:tc>
      </w:tr>
      <w:tr w14:paraId="5ACD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889" w:type="dxa"/>
            <w:vMerge w:val="continue"/>
            <w:tcBorders>
              <w:top w:val="nil"/>
              <w:left w:val="nil"/>
              <w:bottom w:val="nil"/>
              <w:right w:val="nil"/>
            </w:tcBorders>
            <w:vAlign w:val="center"/>
          </w:tcPr>
          <w:p w14:paraId="35E34C1F">
            <w:pPr>
              <w:widowControl/>
              <w:jc w:val="left"/>
              <w:rPr>
                <w:rFonts w:eastAsia="楷体_GB2312"/>
                <w:color w:val="000000"/>
                <w:sz w:val="52"/>
              </w:rPr>
            </w:pPr>
          </w:p>
        </w:tc>
        <w:tc>
          <w:tcPr>
            <w:tcW w:w="1736" w:type="dxa"/>
            <w:tcBorders>
              <w:top w:val="nil"/>
              <w:left w:val="nil"/>
              <w:bottom w:val="nil"/>
              <w:right w:val="nil"/>
            </w:tcBorders>
            <w:vAlign w:val="center"/>
          </w:tcPr>
          <w:p w14:paraId="3CFE0510">
            <w:pPr>
              <w:pStyle w:val="12"/>
              <w:ind w:firstLine="0" w:firstLineChars="0"/>
              <w:jc w:val="center"/>
            </w:pPr>
            <w:r>
              <w:rPr>
                <w:rFonts w:hint="eastAsia"/>
                <w:lang w:val="en-US" w:eastAsia="zh-CN"/>
              </w:rPr>
              <w:t>学   号</w:t>
            </w:r>
            <w:r>
              <w:rPr>
                <w:rFonts w:hint="eastAsia"/>
              </w:rPr>
              <w:t>：</w:t>
            </w:r>
          </w:p>
        </w:tc>
        <w:tc>
          <w:tcPr>
            <w:tcW w:w="3996" w:type="dxa"/>
            <w:tcBorders>
              <w:top w:val="nil"/>
              <w:left w:val="nil"/>
              <w:bottom w:val="nil"/>
              <w:right w:val="nil"/>
            </w:tcBorders>
            <w:vAlign w:val="center"/>
          </w:tcPr>
          <w:p w14:paraId="127D60D7">
            <w:pPr>
              <w:pStyle w:val="12"/>
              <w:ind w:firstLine="0" w:firstLineChars="0"/>
              <w:jc w:val="center"/>
              <w:rPr>
                <w:rFonts w:hint="default" w:eastAsia="宋体"/>
                <w:u w:val="single"/>
                <w:lang w:val="en-US" w:eastAsia="zh-CN"/>
              </w:rPr>
            </w:pPr>
            <w:r>
              <w:rPr>
                <w:rFonts w:hint="eastAsia"/>
                <w:u w:val="single"/>
                <w:lang w:val="en-US" w:eastAsia="zh-CN"/>
              </w:rPr>
              <w:t>3122009224</w:t>
            </w:r>
          </w:p>
        </w:tc>
        <w:tc>
          <w:tcPr>
            <w:tcW w:w="1514" w:type="dxa"/>
            <w:vMerge w:val="continue"/>
            <w:tcBorders>
              <w:top w:val="nil"/>
              <w:left w:val="nil"/>
              <w:bottom w:val="nil"/>
              <w:right w:val="nil"/>
            </w:tcBorders>
            <w:vAlign w:val="center"/>
          </w:tcPr>
          <w:p w14:paraId="5390784E">
            <w:pPr>
              <w:widowControl/>
              <w:jc w:val="distribute"/>
              <w:rPr>
                <w:rFonts w:eastAsia="楷体_GB2312"/>
                <w:color w:val="000000"/>
                <w:sz w:val="52"/>
              </w:rPr>
            </w:pPr>
          </w:p>
        </w:tc>
      </w:tr>
      <w:tr w14:paraId="73343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4"/>
            <w:tcBorders>
              <w:top w:val="nil"/>
              <w:left w:val="nil"/>
              <w:bottom w:val="nil"/>
              <w:right w:val="nil"/>
            </w:tcBorders>
          </w:tcPr>
          <w:p w14:paraId="46796E2A">
            <w:pPr>
              <w:pStyle w:val="9"/>
              <w:jc w:val="both"/>
              <w:rPr>
                <w:rFonts w:hint="eastAsia"/>
              </w:rPr>
            </w:pPr>
          </w:p>
          <w:p w14:paraId="039C586C">
            <w:pPr>
              <w:pStyle w:val="9"/>
              <w:jc w:val="center"/>
            </w:pPr>
            <w:r>
              <w:rPr>
                <w:rFonts w:hint="eastAsia"/>
              </w:rPr>
              <w:t>二〇</w:t>
            </w:r>
            <w:r>
              <w:rPr>
                <w:rFonts w:hint="eastAsia"/>
                <w:lang w:val="en-US" w:eastAsia="zh-CN"/>
              </w:rPr>
              <w:t>二四</w:t>
            </w:r>
            <w:r>
              <w:rPr>
                <w:rFonts w:hint="eastAsia"/>
              </w:rPr>
              <w:t xml:space="preserve">年 </w:t>
            </w:r>
            <w:r>
              <w:rPr>
                <w:rFonts w:hint="eastAsia"/>
                <w:lang w:val="en-US" w:eastAsia="zh-CN"/>
              </w:rPr>
              <w:t>十</w:t>
            </w:r>
            <w:r>
              <w:rPr>
                <w:rFonts w:hint="eastAsia"/>
              </w:rPr>
              <w:t>月</w:t>
            </w:r>
          </w:p>
        </w:tc>
      </w:tr>
    </w:tbl>
    <w:p w14:paraId="1DFD7A5C"/>
    <w:p w14:paraId="76B92E5C"/>
    <w:p w14:paraId="1D2A188F"/>
    <w:p w14:paraId="701FAB61">
      <w:pPr>
        <w:keepNext w:val="0"/>
        <w:keepLines w:val="0"/>
        <w:widowControl/>
        <w:suppressLineNumbers w:val="0"/>
        <w:jc w:val="left"/>
      </w:pPr>
    </w:p>
    <w:sdt>
      <w:sdtPr>
        <w:rPr>
          <w:rFonts w:ascii="宋体" w:hAnsi="宋体" w:eastAsia="宋体" w:cs="Times New Roman"/>
          <w:kern w:val="2"/>
          <w:sz w:val="21"/>
          <w:szCs w:val="24"/>
          <w:lang w:val="en-US" w:eastAsia="zh-CN" w:bidi="ar-SA"/>
        </w:rPr>
        <w:id w:val="147451862"/>
        <w15:color w:val="DBDBDB"/>
        <w:docPartObj>
          <w:docPartGallery w:val="Table of Contents"/>
          <w:docPartUnique/>
        </w:docPartObj>
      </w:sdtPr>
      <w:sdtContent>
        <w:p w14:paraId="6E85D24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DCFDFAA">
          <w:pPr>
            <w:pStyle w:val="13"/>
            <w:tabs>
              <w:tab w:val="right" w:leader="dot" w:pos="8306"/>
            </w:tabs>
          </w:pPr>
          <w:r>
            <w:fldChar w:fldCharType="begin"/>
          </w:r>
          <w:r>
            <w:instrText xml:space="preserve">TOC \o "1-1" \h \u </w:instrText>
          </w:r>
          <w:r>
            <w:fldChar w:fldCharType="separate"/>
          </w:r>
          <w:r>
            <w:fldChar w:fldCharType="begin"/>
          </w:r>
          <w:r>
            <w:instrText xml:space="preserve"> HYPERLINK \l _Toc20186 </w:instrText>
          </w:r>
          <w:r>
            <w:fldChar w:fldCharType="separate"/>
          </w:r>
          <w:r>
            <w:rPr>
              <w:rFonts w:hint="default" w:ascii="Segoe UI" w:hAnsi="Segoe UI" w:eastAsia="Segoe UI" w:cs="Segoe UI"/>
              <w:bCs/>
              <w:i w:val="0"/>
              <w:iCs w:val="0"/>
              <w:caps w:val="0"/>
              <w:spacing w:val="0"/>
              <w:shd w:val="clear" w:fill="FFFFFF"/>
            </w:rPr>
            <w:t>一、引言</w:t>
          </w:r>
          <w:r>
            <w:tab/>
          </w:r>
          <w:r>
            <w:fldChar w:fldCharType="begin"/>
          </w:r>
          <w:r>
            <w:instrText xml:space="preserve"> PAGEREF _Toc20186 \h </w:instrText>
          </w:r>
          <w:r>
            <w:fldChar w:fldCharType="separate"/>
          </w:r>
          <w:r>
            <w:t>2</w:t>
          </w:r>
          <w:r>
            <w:fldChar w:fldCharType="end"/>
          </w:r>
          <w:r>
            <w:fldChar w:fldCharType="end"/>
          </w:r>
        </w:p>
        <w:p w14:paraId="33E8D7C9">
          <w:pPr>
            <w:pStyle w:val="13"/>
            <w:tabs>
              <w:tab w:val="right" w:leader="dot" w:pos="8306"/>
            </w:tabs>
          </w:pPr>
          <w:r>
            <w:fldChar w:fldCharType="begin"/>
          </w:r>
          <w:r>
            <w:instrText xml:space="preserve"> HYPERLINK \l _Toc11905 </w:instrText>
          </w:r>
          <w:r>
            <w:fldChar w:fldCharType="separate"/>
          </w:r>
          <w:r>
            <w:rPr>
              <w:rFonts w:hint="default" w:ascii="Segoe UI" w:hAnsi="Segoe UI" w:eastAsia="Segoe UI" w:cs="Segoe UI"/>
              <w:bCs/>
              <w:i w:val="0"/>
              <w:iCs w:val="0"/>
              <w:caps w:val="0"/>
              <w:spacing w:val="0"/>
              <w:shd w:val="clear" w:fill="FFFFFF"/>
            </w:rPr>
            <w:t>二、电子信息类专业工程的发展历程</w:t>
          </w:r>
          <w:r>
            <w:tab/>
          </w:r>
          <w:r>
            <w:fldChar w:fldCharType="begin"/>
          </w:r>
          <w:r>
            <w:instrText xml:space="preserve"> PAGEREF _Toc11905 \h </w:instrText>
          </w:r>
          <w:r>
            <w:fldChar w:fldCharType="separate"/>
          </w:r>
          <w:r>
            <w:t>2</w:t>
          </w:r>
          <w:r>
            <w:fldChar w:fldCharType="end"/>
          </w:r>
          <w:r>
            <w:fldChar w:fldCharType="end"/>
          </w:r>
        </w:p>
        <w:p w14:paraId="7F63E62A">
          <w:pPr>
            <w:pStyle w:val="13"/>
            <w:tabs>
              <w:tab w:val="right" w:leader="dot" w:pos="8306"/>
            </w:tabs>
          </w:pPr>
          <w:r>
            <w:fldChar w:fldCharType="begin"/>
          </w:r>
          <w:r>
            <w:instrText xml:space="preserve"> HYPERLINK \l _Toc16550 </w:instrText>
          </w:r>
          <w:r>
            <w:fldChar w:fldCharType="separate"/>
          </w:r>
          <w:r>
            <w:rPr>
              <w:rFonts w:hint="default" w:ascii="Segoe UI" w:hAnsi="Segoe UI" w:eastAsia="Segoe UI" w:cs="Segoe UI"/>
              <w:bCs/>
              <w:i w:val="0"/>
              <w:iCs w:val="0"/>
              <w:caps w:val="0"/>
              <w:spacing w:val="0"/>
              <w:shd w:val="clear" w:fill="FFFFFF"/>
            </w:rPr>
            <w:t>三、我国电子信息类专业工程的现状</w:t>
          </w:r>
          <w:r>
            <w:tab/>
          </w:r>
          <w:r>
            <w:fldChar w:fldCharType="begin"/>
          </w:r>
          <w:r>
            <w:instrText xml:space="preserve"> PAGEREF _Toc16550 \h </w:instrText>
          </w:r>
          <w:r>
            <w:fldChar w:fldCharType="separate"/>
          </w:r>
          <w:r>
            <w:t>3</w:t>
          </w:r>
          <w:r>
            <w:fldChar w:fldCharType="end"/>
          </w:r>
          <w:r>
            <w:fldChar w:fldCharType="end"/>
          </w:r>
        </w:p>
        <w:p w14:paraId="1E2F96B1">
          <w:pPr>
            <w:pStyle w:val="13"/>
            <w:tabs>
              <w:tab w:val="right" w:leader="dot" w:pos="8306"/>
            </w:tabs>
          </w:pPr>
          <w:r>
            <w:fldChar w:fldCharType="begin"/>
          </w:r>
          <w:r>
            <w:instrText xml:space="preserve"> HYPERLINK \l _Toc10207 </w:instrText>
          </w:r>
          <w:r>
            <w:fldChar w:fldCharType="separate"/>
          </w:r>
          <w:r>
            <w:rPr>
              <w:rFonts w:hint="default" w:ascii="Segoe UI" w:hAnsi="Segoe UI" w:eastAsia="Segoe UI" w:cs="Segoe UI"/>
              <w:bCs/>
              <w:i w:val="0"/>
              <w:iCs w:val="0"/>
              <w:caps w:val="0"/>
              <w:spacing w:val="0"/>
              <w:shd w:val="clear" w:fill="FFFFFF"/>
            </w:rPr>
            <w:t>四、未来发展趋势</w:t>
          </w:r>
          <w:r>
            <w:tab/>
          </w:r>
          <w:r>
            <w:fldChar w:fldCharType="begin"/>
          </w:r>
          <w:r>
            <w:instrText xml:space="preserve"> PAGEREF _Toc10207 \h </w:instrText>
          </w:r>
          <w:r>
            <w:fldChar w:fldCharType="separate"/>
          </w:r>
          <w:r>
            <w:t>3</w:t>
          </w:r>
          <w:r>
            <w:fldChar w:fldCharType="end"/>
          </w:r>
          <w:r>
            <w:fldChar w:fldCharType="end"/>
          </w:r>
        </w:p>
        <w:p w14:paraId="4EF496C0">
          <w:pPr>
            <w:pStyle w:val="13"/>
            <w:tabs>
              <w:tab w:val="right" w:leader="dot" w:pos="8306"/>
            </w:tabs>
          </w:pPr>
          <w:r>
            <w:fldChar w:fldCharType="begin"/>
          </w:r>
          <w:r>
            <w:instrText xml:space="preserve"> HYPERLINK \l _Toc18023 </w:instrText>
          </w:r>
          <w:r>
            <w:fldChar w:fldCharType="separate"/>
          </w:r>
          <w:r>
            <w:rPr>
              <w:rFonts w:hint="default" w:ascii="Segoe UI" w:hAnsi="Segoe UI" w:eastAsia="Segoe UI" w:cs="Segoe UI"/>
              <w:bCs/>
              <w:i w:val="0"/>
              <w:iCs w:val="0"/>
              <w:caps w:val="0"/>
              <w:spacing w:val="0"/>
              <w:shd w:val="clear" w:fill="FFFFFF"/>
            </w:rPr>
            <w:t>五、结论</w:t>
          </w:r>
          <w:r>
            <w:tab/>
          </w:r>
          <w:r>
            <w:fldChar w:fldCharType="begin"/>
          </w:r>
          <w:r>
            <w:instrText xml:space="preserve"> PAGEREF _Toc18023 \h </w:instrText>
          </w:r>
          <w:r>
            <w:fldChar w:fldCharType="separate"/>
          </w:r>
          <w:r>
            <w:t>4</w:t>
          </w:r>
          <w:r>
            <w:fldChar w:fldCharType="end"/>
          </w:r>
          <w:r>
            <w:fldChar w:fldCharType="end"/>
          </w:r>
        </w:p>
        <w:p w14:paraId="139BD8C6">
          <w:r>
            <w:fldChar w:fldCharType="end"/>
          </w:r>
        </w:p>
      </w:sdtContent>
    </w:sdt>
    <w:p w14:paraId="515B6383"/>
    <w:p w14:paraId="18B312A6">
      <w:pPr>
        <w:pStyle w:val="2"/>
        <w:keepNext w:val="0"/>
        <w:keepLines w:val="0"/>
        <w:widowControl/>
        <w:suppressLineNumbers w:val="0"/>
        <w:pBdr>
          <w:bottom w:val="none" w:color="auto" w:sz="0" w:space="0"/>
        </w:pBdr>
        <w:shd w:val="clear" w:fill="FFFFFF"/>
        <w:spacing w:after="40" w:afterAutospacing="0"/>
        <w:ind w:left="0" w:firstLine="0"/>
        <w:outlineLvl w:val="0"/>
        <w:rPr>
          <w:rFonts w:hint="default" w:ascii="Segoe UI" w:hAnsi="Segoe UI" w:eastAsia="Segoe UI" w:cs="Segoe UI"/>
          <w:b/>
          <w:bCs/>
          <w:i w:val="0"/>
          <w:iCs w:val="0"/>
          <w:caps w:val="0"/>
          <w:spacing w:val="0"/>
        </w:rPr>
      </w:pPr>
      <w:bookmarkStart w:id="0" w:name="_Toc20186"/>
      <w:r>
        <w:rPr>
          <w:rFonts w:hint="default" w:ascii="Segoe UI" w:hAnsi="Segoe UI" w:eastAsia="Segoe UI" w:cs="Segoe UI"/>
          <w:b/>
          <w:bCs/>
          <w:i w:val="0"/>
          <w:iCs w:val="0"/>
          <w:caps w:val="0"/>
          <w:spacing w:val="0"/>
          <w:shd w:val="clear" w:fill="FFFFFF"/>
        </w:rPr>
        <w:t>一、引言</w:t>
      </w:r>
      <w:bookmarkEnd w:id="0"/>
    </w:p>
    <w:p w14:paraId="1D907993">
      <w:pPr>
        <w:keepNext w:val="0"/>
        <w:keepLines w:val="0"/>
        <w:widowControl/>
        <w:suppressLineNumbers w:val="0"/>
        <w:jc w:val="left"/>
      </w:pPr>
    </w:p>
    <w:p w14:paraId="49FC5DA7">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电子信息类专业工程作为现代科技的关键领域，对我国的经济发展、社会进步以及国家安全等方面都有着不可替代的重要作用。从早期的基础探索到如今的广泛应用，其发展历程波澜壮阔，如今已取得令人瞩目的成就，并展现出广阔的发展前景。</w:t>
      </w:r>
    </w:p>
    <w:p w14:paraId="5404C3CC">
      <w:pPr>
        <w:keepNext w:val="0"/>
        <w:keepLines w:val="0"/>
        <w:widowControl/>
        <w:suppressLineNumbers w:val="0"/>
        <w:jc w:val="left"/>
      </w:pPr>
    </w:p>
    <w:p w14:paraId="1E8AF38C">
      <w:pPr>
        <w:pStyle w:val="2"/>
        <w:keepNext w:val="0"/>
        <w:keepLines w:val="0"/>
        <w:widowControl/>
        <w:suppressLineNumbers w:val="0"/>
        <w:pBdr>
          <w:bottom w:val="none" w:color="auto" w:sz="0" w:space="0"/>
        </w:pBdr>
        <w:shd w:val="clear" w:fill="FFFFFF"/>
        <w:spacing w:after="40" w:afterAutospacing="0"/>
        <w:ind w:left="0" w:firstLine="0"/>
        <w:outlineLvl w:val="0"/>
        <w:rPr>
          <w:rFonts w:hint="default" w:ascii="Segoe UI" w:hAnsi="Segoe UI" w:eastAsia="Segoe UI" w:cs="Segoe UI"/>
          <w:b/>
          <w:bCs/>
          <w:i w:val="0"/>
          <w:iCs w:val="0"/>
          <w:caps w:val="0"/>
          <w:spacing w:val="0"/>
        </w:rPr>
      </w:pPr>
      <w:bookmarkStart w:id="1" w:name="_Toc11905"/>
      <w:r>
        <w:rPr>
          <w:rFonts w:hint="default" w:ascii="Segoe UI" w:hAnsi="Segoe UI" w:eastAsia="Segoe UI" w:cs="Segoe UI"/>
          <w:b/>
          <w:bCs/>
          <w:i w:val="0"/>
          <w:iCs w:val="0"/>
          <w:caps w:val="0"/>
          <w:spacing w:val="0"/>
          <w:shd w:val="clear" w:fill="FFFFFF"/>
        </w:rPr>
        <w:t>二、电子信息类专业工程的发展历程</w:t>
      </w:r>
      <w:bookmarkEnd w:id="1"/>
    </w:p>
    <w:p w14:paraId="6BA072ED">
      <w:pPr>
        <w:keepNext w:val="0"/>
        <w:keepLines w:val="0"/>
        <w:widowControl/>
        <w:suppressLineNumbers w:val="0"/>
        <w:jc w:val="left"/>
      </w:pPr>
    </w:p>
    <w:p w14:paraId="1A8B4CD4">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（一）起步阶段（20 世纪 50 年代 - 70 年代）</w:t>
      </w:r>
    </w:p>
    <w:p w14:paraId="0D95EDC8">
      <w:pPr>
        <w:keepNext w:val="0"/>
        <w:keepLines w:val="0"/>
        <w:widowControl/>
        <w:suppressLineNumbers w:val="0"/>
        <w:jc w:val="left"/>
      </w:pPr>
    </w:p>
    <w:p w14:paraId="6300474E">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新中国成立初期，我国电子信息工程在艰难中起步。在抗美援朝等国际局势影响下，国家深刻认识到电子技术的战略意义。1956 年北京电子工程学院（现北京邮电大学）的成立，为专业人才培养奠定了基础。这一时期，我国集中力量发展基础电子技术，为军事国防和航空航天领域提供支持。例如，自主研发电子管等基础元器件，逐步构建起初步的电子工业体系，虽然技术水平相对较低，但为后续发展积累了宝贵经验。</w:t>
      </w:r>
    </w:p>
    <w:p w14:paraId="6117DE94">
      <w:pPr>
        <w:keepNext w:val="0"/>
        <w:keepLines w:val="0"/>
        <w:widowControl/>
        <w:suppressLineNumbers w:val="0"/>
        <w:jc w:val="left"/>
      </w:pPr>
    </w:p>
    <w:p w14:paraId="124CD507">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（二）发展阶段（80 年代 - 90 年代）</w:t>
      </w:r>
    </w:p>
    <w:p w14:paraId="5BF5CE0B">
      <w:pPr>
        <w:keepNext w:val="0"/>
        <w:keepLines w:val="0"/>
        <w:widowControl/>
        <w:suppressLineNumbers w:val="0"/>
        <w:jc w:val="left"/>
        <w:outlineLvl w:val="9"/>
      </w:pPr>
    </w:p>
    <w:p w14:paraId="0E1C4801">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改革开放政策为电子信息工程带来了新契机。通过引进国外先进技术和设备，我国电子信息产业开始向民用领域拓展。例如，彩色电视机、家用电话等电子产品逐渐普及，丰富了人民生活。同时，国家 “863 计划” 的实施，为电子信息技术发展注入强大动力，在微电子、计算机、通信等领域取得一系列突破。高校和科研机构积极开展相关研究，众多新兴学科和专业应运而生，为产业发展提供了坚实的人才和技术支撑。</w:t>
      </w:r>
    </w:p>
    <w:p w14:paraId="6D851122">
      <w:pPr>
        <w:keepNext w:val="0"/>
        <w:keepLines w:val="0"/>
        <w:widowControl/>
        <w:suppressLineNumbers w:val="0"/>
        <w:jc w:val="left"/>
      </w:pPr>
    </w:p>
    <w:p w14:paraId="1FEE482C">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（三）成熟阶段（21 世纪初至今）</w:t>
      </w:r>
    </w:p>
    <w:p w14:paraId="362771AA">
      <w:pPr>
        <w:keepNext w:val="0"/>
        <w:keepLines w:val="0"/>
        <w:widowControl/>
        <w:suppressLineNumbers w:val="0"/>
        <w:jc w:val="left"/>
      </w:pPr>
    </w:p>
    <w:p w14:paraId="2C3F9DE6">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随着互联网的快速普及和国家信息化战略的深入推进，电子信息类专业工程进入成熟发展期。“宽带中国” 战略加速了通信网络的建设与升级，推动了互联网经济的蓬勃发展。以华为、中兴为代表的企业在全球通信领域崭露头角，我国 5G 技术实现全球领先，不仅在国内大规模商用，还积极参与国际标准制定和基础设施建设。在集成电路领域，虽然面临诸多挑战，但也在持续加大研发投入，取得了一定的技术突破，如中芯国际在芯片制造工艺上不断提升。</w:t>
      </w:r>
    </w:p>
    <w:p w14:paraId="4C39B402">
      <w:pPr>
        <w:keepNext w:val="0"/>
        <w:keepLines w:val="0"/>
        <w:widowControl/>
        <w:suppressLineNumbers w:val="0"/>
        <w:jc w:val="left"/>
      </w:pPr>
    </w:p>
    <w:p w14:paraId="49DF84AB">
      <w:pPr>
        <w:pStyle w:val="2"/>
        <w:keepNext w:val="0"/>
        <w:keepLines w:val="0"/>
        <w:widowControl/>
        <w:suppressLineNumbers w:val="0"/>
        <w:pBdr>
          <w:bottom w:val="none" w:color="auto" w:sz="0" w:space="0"/>
        </w:pBdr>
        <w:shd w:val="clear" w:fill="FFFFFF"/>
        <w:spacing w:after="40" w:afterAutospacing="0"/>
        <w:ind w:left="0" w:firstLine="0"/>
        <w:outlineLvl w:val="0"/>
        <w:rPr>
          <w:rFonts w:hint="default" w:ascii="Segoe UI" w:hAnsi="Segoe UI" w:eastAsia="Segoe UI" w:cs="Segoe UI"/>
          <w:b/>
          <w:bCs/>
          <w:i w:val="0"/>
          <w:iCs w:val="0"/>
          <w:caps w:val="0"/>
          <w:spacing w:val="0"/>
        </w:rPr>
      </w:pPr>
      <w:bookmarkStart w:id="2" w:name="_Toc16550"/>
      <w:r>
        <w:rPr>
          <w:rFonts w:hint="default" w:ascii="Segoe UI" w:hAnsi="Segoe UI" w:eastAsia="Segoe UI" w:cs="Segoe UI"/>
          <w:b/>
          <w:bCs/>
          <w:i w:val="0"/>
          <w:iCs w:val="0"/>
          <w:caps w:val="0"/>
          <w:spacing w:val="0"/>
          <w:shd w:val="clear" w:fill="FFFFFF"/>
        </w:rPr>
        <w:t>三、我国电子信息类专业工程的现状</w:t>
      </w:r>
      <w:bookmarkEnd w:id="2"/>
    </w:p>
    <w:p w14:paraId="37911A9C">
      <w:pPr>
        <w:keepNext w:val="0"/>
        <w:keepLines w:val="0"/>
        <w:widowControl/>
        <w:suppressLineNumbers w:val="0"/>
        <w:jc w:val="left"/>
      </w:pPr>
    </w:p>
    <w:p w14:paraId="170C784F">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（一）教育与人才培养</w:t>
      </w:r>
    </w:p>
    <w:p w14:paraId="49B49AA6">
      <w:pPr>
        <w:keepNext w:val="0"/>
        <w:keepLines w:val="0"/>
        <w:widowControl/>
        <w:suppressLineNumbers w:val="0"/>
        <w:jc w:val="left"/>
      </w:pPr>
    </w:p>
    <w:p w14:paraId="7F6882EA">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我国电子信息类高等教育体系日益完善，众多高校和科研院所形成了多层次、多类型的人才培养格局。本科教育注重实践能力培养，通过校企合作、实习实训基地建设等方式，提高学生的实际操作技能。研究生教育则聚焦于前沿技术研究和创新能力培养，为科研创新输送高层次人才。同时，职业教育也为产业发展培养了大量应用型技术人才，满足了不同层次的人才需求。</w:t>
      </w:r>
    </w:p>
    <w:p w14:paraId="7AB962DE">
      <w:pPr>
        <w:keepNext w:val="0"/>
        <w:keepLines w:val="0"/>
        <w:widowControl/>
        <w:suppressLineNumbers w:val="0"/>
        <w:jc w:val="left"/>
      </w:pPr>
    </w:p>
    <w:p w14:paraId="33BAC9E1">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（二）产业发展</w:t>
      </w:r>
    </w:p>
    <w:p w14:paraId="61A768D7">
      <w:pPr>
        <w:keepNext w:val="0"/>
        <w:keepLines w:val="0"/>
        <w:widowControl/>
        <w:suppressLineNumbers w:val="0"/>
        <w:jc w:val="left"/>
      </w:pPr>
    </w:p>
    <w:p w14:paraId="0633DDCD">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我国电子信息产业规模持续扩大，已成为全球最重要的电子信息产品制造基地和消费市场之一。通信产业发展迅猛，5G 网络建设和应用走在世界前列，带动了相关产业链的协同发展，如基站设备制造、智能终端生产等。在软件和信息技术服务领域，涌现出一批具有国际竞争力的企业，如腾讯、阿里巴巴等，在软件开发、云计算、大数据等方面取得显著成果，推动了数字经济的快速发展。</w:t>
      </w:r>
    </w:p>
    <w:p w14:paraId="562A5729">
      <w:pPr>
        <w:keepNext w:val="0"/>
        <w:keepLines w:val="0"/>
        <w:widowControl/>
        <w:suppressLineNumbers w:val="0"/>
        <w:jc w:val="left"/>
      </w:pPr>
    </w:p>
    <w:p w14:paraId="305713BF">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（三）技术创新</w:t>
      </w:r>
    </w:p>
    <w:p w14:paraId="54A75DEB">
      <w:pPr>
        <w:keepNext w:val="0"/>
        <w:keepLines w:val="0"/>
        <w:widowControl/>
        <w:suppressLineNumbers w:val="0"/>
        <w:jc w:val="left"/>
      </w:pPr>
    </w:p>
    <w:p w14:paraId="5421B5A7">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我国在电子信息领域的技术创新能力不断增强。在 5G 通信技术方面，拥有大量核心专利，实现了从跟跑到并跑再到领跑的跨越。在人工智能领域，算法研究和应用场景拓展方面进展迅速，应用于智能安防、智能交通、智能制造等多个领域。同时，我国在集成电路设计、量子通信等前沿技术领域也加大研发投入，取得了部分关键技术突破。</w:t>
      </w:r>
    </w:p>
    <w:p w14:paraId="54C00214">
      <w:pPr>
        <w:keepNext w:val="0"/>
        <w:keepLines w:val="0"/>
        <w:widowControl/>
        <w:suppressLineNumbers w:val="0"/>
        <w:jc w:val="left"/>
      </w:pPr>
    </w:p>
    <w:p w14:paraId="31A25314">
      <w:pPr>
        <w:pStyle w:val="2"/>
        <w:keepNext w:val="0"/>
        <w:keepLines w:val="0"/>
        <w:widowControl/>
        <w:suppressLineNumbers w:val="0"/>
        <w:pBdr>
          <w:bottom w:val="none" w:color="auto" w:sz="0" w:space="0"/>
        </w:pBdr>
        <w:shd w:val="clear" w:fill="FFFFFF"/>
        <w:spacing w:after="40" w:afterAutospacing="0"/>
        <w:ind w:left="0" w:firstLine="0"/>
        <w:outlineLvl w:val="0"/>
        <w:rPr>
          <w:rFonts w:hint="default" w:ascii="Segoe UI" w:hAnsi="Segoe UI" w:eastAsia="Segoe UI" w:cs="Segoe UI"/>
          <w:b/>
          <w:bCs/>
          <w:i w:val="0"/>
          <w:iCs w:val="0"/>
          <w:caps w:val="0"/>
          <w:spacing w:val="0"/>
        </w:rPr>
      </w:pPr>
      <w:bookmarkStart w:id="3" w:name="_Toc10207"/>
      <w:r>
        <w:rPr>
          <w:rFonts w:hint="default" w:ascii="Segoe UI" w:hAnsi="Segoe UI" w:eastAsia="Segoe UI" w:cs="Segoe UI"/>
          <w:b/>
          <w:bCs/>
          <w:i w:val="0"/>
          <w:iCs w:val="0"/>
          <w:caps w:val="0"/>
          <w:spacing w:val="0"/>
          <w:shd w:val="clear" w:fill="FFFFFF"/>
        </w:rPr>
        <w:t>四、未来发展趋势</w:t>
      </w:r>
      <w:bookmarkEnd w:id="3"/>
    </w:p>
    <w:p w14:paraId="56BF1EB3">
      <w:pPr>
        <w:keepNext w:val="0"/>
        <w:keepLines w:val="0"/>
        <w:widowControl/>
        <w:suppressLineNumbers w:val="0"/>
        <w:jc w:val="left"/>
      </w:pPr>
    </w:p>
    <w:p w14:paraId="573ABE9B">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（一）技术集成化与智能化</w:t>
      </w:r>
    </w:p>
    <w:p w14:paraId="60E6DB3B">
      <w:pPr>
        <w:keepNext w:val="0"/>
        <w:keepLines w:val="0"/>
        <w:widowControl/>
        <w:suppressLineNumbers w:val="0"/>
        <w:jc w:val="left"/>
      </w:pPr>
    </w:p>
    <w:p w14:paraId="1433CCED">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未来电子信息类专业工程将朝着技术集成化和智能化方向加速发展。5G、人工智能、物联网、大数据等技术将深度融合，构建智能化生态系统。例如，智能家居将实现家居设备的互联互通和智能控制，智慧城市将提升城市管理和服务的智能化水平，智能交通将优化交通流量、提高出行效率。</w:t>
      </w:r>
    </w:p>
    <w:p w14:paraId="39ACAFE9">
      <w:pPr>
        <w:keepNext w:val="0"/>
        <w:keepLines w:val="0"/>
        <w:widowControl/>
        <w:suppressLineNumbers w:val="0"/>
        <w:jc w:val="left"/>
      </w:pPr>
    </w:p>
    <w:p w14:paraId="6055E98F">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（二）自主可控与安全</w:t>
      </w:r>
    </w:p>
    <w:p w14:paraId="0735AD62">
      <w:pPr>
        <w:keepNext w:val="0"/>
        <w:keepLines w:val="0"/>
        <w:widowControl/>
        <w:suppressLineNumbers w:val="0"/>
        <w:jc w:val="left"/>
      </w:pPr>
    </w:p>
    <w:p w14:paraId="6351F06C">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在国际科技竞争日益激烈的背景下，实现关键技术的自主可控至关重要。国家将进一步加大对芯片、操作系统、基础软件等领域的研发支持力度，鼓励企业和科研机构加强自主创新。同时，信息安全将成为发展的重点关注领域，从硬件到软件，从数据传输到存储，全方位加强安全防护体系建设，保障国家和个人的信息安全。</w:t>
      </w:r>
    </w:p>
    <w:p w14:paraId="12CE364F">
      <w:pPr>
        <w:keepNext w:val="0"/>
        <w:keepLines w:val="0"/>
        <w:widowControl/>
        <w:suppressLineNumbers w:val="0"/>
        <w:jc w:val="left"/>
      </w:pPr>
    </w:p>
    <w:p w14:paraId="149C9A0F">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（三）绿色与可持续发展</w:t>
      </w:r>
    </w:p>
    <w:p w14:paraId="4399C8EE">
      <w:pPr>
        <w:keepNext w:val="0"/>
        <w:keepLines w:val="0"/>
        <w:widowControl/>
        <w:suppressLineNumbers w:val="0"/>
        <w:jc w:val="left"/>
      </w:pPr>
    </w:p>
    <w:p w14:paraId="750A146B">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电子信息产业将积极践行绿色发展理念。在产品设计阶段，注重节能降耗和环保材料的应用；在生产制造环节，推广绿色制造工艺，减少污染物排放；在产品回收方面，建立完善的电子废弃物回收处理体系，提高资源循环利用率。例如，电子设备将采用更高效的电源管理技术，降低能耗，同时采用可降解材料，减少对环境的影响。</w:t>
      </w:r>
    </w:p>
    <w:p w14:paraId="1252DB8B">
      <w:pPr>
        <w:keepNext w:val="0"/>
        <w:keepLines w:val="0"/>
        <w:widowControl/>
        <w:suppressLineNumbers w:val="0"/>
        <w:jc w:val="left"/>
      </w:pPr>
    </w:p>
    <w:p w14:paraId="4B2495DC">
      <w:pPr>
        <w:pStyle w:val="3"/>
        <w:keepNext w:val="0"/>
        <w:keepLines w:val="0"/>
        <w:widowControl/>
        <w:suppressLineNumbers w:val="0"/>
        <w:pBdr>
          <w:bottom w:val="none" w:color="auto" w:sz="0" w:space="0"/>
        </w:pBdr>
        <w:shd w:val="clear" w:fill="FFFFFF"/>
        <w:spacing w:after="40" w:afterAutospacing="0"/>
        <w:ind w:left="0" w:firstLine="0"/>
        <w:outlineLvl w:val="1"/>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（四）全球化与合作</w:t>
      </w:r>
    </w:p>
    <w:p w14:paraId="1F82484B">
      <w:pPr>
        <w:keepNext w:val="0"/>
        <w:keepLines w:val="0"/>
        <w:widowControl/>
        <w:suppressLineNumbers w:val="0"/>
        <w:jc w:val="left"/>
      </w:pPr>
    </w:p>
    <w:p w14:paraId="34D4B326">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尽管国际形势复杂多变，但全球化合作仍是电子信息类专业工程发展的趋势。我国将在开放合作中积极参与全球电子信息产业分工，加强国际技术交流与合作，共同攻克技术难题。同时，我国企业也将加快 “走出去” 步伐，拓展国际市场，提升我国电子信息产业的国际影响力。</w:t>
      </w:r>
    </w:p>
    <w:p w14:paraId="49CFC37B">
      <w:pPr>
        <w:keepNext w:val="0"/>
        <w:keepLines w:val="0"/>
        <w:widowControl/>
        <w:suppressLineNumbers w:val="0"/>
        <w:jc w:val="left"/>
      </w:pPr>
    </w:p>
    <w:p w14:paraId="2644F46D">
      <w:pPr>
        <w:pStyle w:val="2"/>
        <w:keepNext w:val="0"/>
        <w:keepLines w:val="0"/>
        <w:widowControl/>
        <w:suppressLineNumbers w:val="0"/>
        <w:pBdr>
          <w:bottom w:val="none" w:color="auto" w:sz="0" w:space="0"/>
        </w:pBdr>
        <w:shd w:val="clear" w:fill="FFFFFF"/>
        <w:spacing w:after="40" w:afterAutospacing="0"/>
        <w:ind w:left="0" w:firstLine="0"/>
        <w:outlineLvl w:val="0"/>
        <w:rPr>
          <w:rFonts w:hint="default" w:ascii="Segoe UI" w:hAnsi="Segoe UI" w:eastAsia="Segoe UI" w:cs="Segoe UI"/>
          <w:b/>
          <w:bCs/>
          <w:i w:val="0"/>
          <w:iCs w:val="0"/>
          <w:caps w:val="0"/>
          <w:spacing w:val="0"/>
        </w:rPr>
      </w:pPr>
      <w:bookmarkStart w:id="4" w:name="_Toc18023"/>
      <w:r>
        <w:rPr>
          <w:rFonts w:hint="default" w:ascii="Segoe UI" w:hAnsi="Segoe UI" w:eastAsia="Segoe UI" w:cs="Segoe UI"/>
          <w:b/>
          <w:bCs/>
          <w:i w:val="0"/>
          <w:iCs w:val="0"/>
          <w:caps w:val="0"/>
          <w:spacing w:val="0"/>
          <w:shd w:val="clear" w:fill="FFFFFF"/>
        </w:rPr>
        <w:t>五、结论</w:t>
      </w:r>
      <w:bookmarkEnd w:id="4"/>
      <w:bookmarkStart w:id="5" w:name="_GoBack"/>
      <w:bookmarkEnd w:id="5"/>
    </w:p>
    <w:p w14:paraId="017C756D">
      <w:pPr>
        <w:keepNext w:val="0"/>
        <w:keepLines w:val="0"/>
        <w:widowControl/>
        <w:suppressLineNumbers w:val="0"/>
        <w:jc w:val="left"/>
      </w:pPr>
    </w:p>
    <w:p w14:paraId="79C6A510">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我国电子信息类专业工程经历了漫长而辉煌的发展历程，取得了显著的成就。在当前形势下，我国电子信息产业具备良好的发展基础和巨大的发展潜力。展望未来，通过持续加强教育与人才培养、推动产业升级、强化技术创新等措施，我国电子信息类专业工程必将在全球科技舞台上发挥更加重要的作用，为国家发展和人民生活水平提升做出更大贡献。同时，我们也要积极应对各种挑战，把握发展机遇，实现电子信息产业的可持续发展。</w:t>
      </w:r>
    </w:p>
    <w:p w14:paraId="05918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1NTFlMzJlMDk2MzQ0ODkxZTEzZGVlYWJjYmQxZjIifQ=="/>
  </w:docVars>
  <w:rsids>
    <w:rsidRoot w:val="00000000"/>
    <w:rsid w:val="30F657DD"/>
    <w:rsid w:val="635E2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semiHidden/>
    <w:unhideWhenUsed/>
    <w:uiPriority w:val="99"/>
    <w:pPr>
      <w:spacing w:before="0" w:beforeAutospacing="1" w:after="0" w:afterAutospacing="1"/>
      <w:ind w:left="0" w:right="0"/>
      <w:jc w:val="left"/>
    </w:pPr>
    <w:rPr>
      <w:rFonts w:asciiTheme="minorHAnsi" w:hAnsiTheme="minorHAnsi" w:eastAsiaTheme="minorEastAsia" w:cstheme="minorBidi"/>
      <w:kern w:val="0"/>
      <w:sz w:val="24"/>
      <w:lang w:val="en-US" w:eastAsia="zh-CN" w:bidi="ar"/>
    </w:rPr>
  </w:style>
  <w:style w:type="paragraph" w:customStyle="1" w:styleId="8">
    <w:name w:val="分类号"/>
    <w:basedOn w:val="1"/>
    <w:qFormat/>
    <w:uiPriority w:val="0"/>
    <w:rPr>
      <w:rFonts w:ascii="仿宋_GB2312" w:eastAsia="仿宋_GB2312"/>
      <w:sz w:val="28"/>
      <w:szCs w:val="28"/>
    </w:rPr>
  </w:style>
  <w:style w:type="paragraph" w:customStyle="1" w:styleId="9">
    <w:name w:val="封面日期"/>
    <w:basedOn w:val="1"/>
    <w:qFormat/>
    <w:uiPriority w:val="0"/>
    <w:pPr>
      <w:jc w:val="center"/>
    </w:pPr>
    <w:rPr>
      <w:rFonts w:ascii="黑体" w:eastAsia="黑体"/>
      <w:sz w:val="32"/>
      <w:szCs w:val="32"/>
    </w:rPr>
  </w:style>
  <w:style w:type="paragraph" w:customStyle="1" w:styleId="10">
    <w:name w:val="论文标题"/>
    <w:basedOn w:val="1"/>
    <w:uiPriority w:val="0"/>
    <w:pPr>
      <w:jc w:val="center"/>
    </w:pPr>
    <w:rPr>
      <w:rFonts w:eastAsia="楷体_GB2312"/>
      <w:b/>
      <w:kern w:val="36"/>
      <w:sz w:val="52"/>
      <w:szCs w:val="52"/>
    </w:rPr>
  </w:style>
  <w:style w:type="paragraph" w:customStyle="1" w:styleId="11">
    <w:name w:val="硕士学位论文"/>
    <w:basedOn w:val="1"/>
    <w:uiPriority w:val="0"/>
    <w:pPr>
      <w:spacing w:before="240"/>
      <w:jc w:val="center"/>
    </w:pPr>
    <w:rPr>
      <w:sz w:val="44"/>
      <w:szCs w:val="44"/>
    </w:rPr>
  </w:style>
  <w:style w:type="paragraph" w:customStyle="1" w:styleId="12">
    <w:name w:val="研究生姓名"/>
    <w:basedOn w:val="1"/>
    <w:qFormat/>
    <w:uiPriority w:val="0"/>
    <w:pPr>
      <w:ind w:firstLine="700" w:firstLineChars="700"/>
    </w:pPr>
    <w:rPr>
      <w:sz w:val="28"/>
      <w:szCs w:val="28"/>
    </w:rPr>
  </w:style>
  <w:style w:type="paragraph" w:customStyle="1" w:styleId="13">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Words>
  <Characters>27</Characters>
  <Lines>1</Lines>
  <Paragraphs>1</Paragraphs>
  <TotalTime>13</TotalTime>
  <ScaleCrop>false</ScaleCrop>
  <LinksUpToDate>false</LinksUpToDate>
  <CharactersWithSpaces>158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施乔</cp:lastModifiedBy>
  <cp:lastPrinted>2023-09-13T03:19:00Z</cp:lastPrinted>
  <dcterms:modified xsi:type="dcterms:W3CDTF">2024-10-14T07:12:52Z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CA360D2F734440E6AC235AA980A23094_12</vt:lpwstr>
  </property>
</Properties>
</file>