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" w:line="276"/>
        <w:jc w:val="center"/>
      </w:pPr>
      <w:r>
        <w:rPr>
          <w:rFonts w:ascii="Arial" w:cs="Arial" w:eastAsia="Arial" w:hAnsi="Arial"/>
          <w:b/>
          <w:bCs/>
          <w:color w:val="0D5C46"/>
          <w:sz w:val="30"/>
          <w:szCs w:val="30"/>
        </w:rPr>
        <w:t xml:space="preserve">POLÍTICA DE PREVENCIÓN DEL CONSUMO DE ALCOHOL Y DROGAS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CASA BONITA OREGÓN S.A.C. considera que el consumo de alcohol y drogas pone en riesgo la vida del trabajador, de sus compañeros y de terceros. Por ello establece que: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Está prohibido ingresar a la obra o trabajar bajo los efectos del alcohol, drogas o sustancias que alteren la conducta.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Está prohibido poseer, consumir, distribuir o vender alcohol o drogas dentro de la obra o en las instalaciones del cliente.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empresa y el contratista principal podrán realizar pruebas de descarte cuando lo consideren necesario.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trabajador que use medicamentos que puedan afectar su desempeño debe informarlo a su jefe inmediato antes de iniciar labores.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incumplimiento de esta política será sancionado según el reglamento interno y la normativa laboral.</w:t>
      </w:r>
    </w:p>
    <w:p>
      <w:pPr>
        <w:spacing w:after="100" w:before="1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Esta política es difundida a todos los trabajadores, está a disposición de las partes interesadas y se revisa una vez al año.</w:t>
      </w:r>
    </w:p>
    <w:p>
      <w:pPr>
        <w:spacing w:after="300" w:before="200" w:line="276"/>
        <w:jc w:val="right"/>
      </w:pPr>
      <w:r>
        <w:rPr>
          <w:rFonts w:ascii="Arial" w:cs="Arial" w:eastAsia="Arial" w:hAnsi="Arial"/>
          <w:sz w:val="20"/>
          <w:szCs w:val="20"/>
        </w:rPr>
        <w:t xml:space="preserve">Lima, 13 de enero de 2026</w:t>
      </w:r>
    </w:p>
    <w:p>
      <w:pPr>
        <w:spacing w:after="0"/>
        <w:jc w:val="center"/>
      </w:pPr>
      <w:r>
        <w:drawing>
          <wp:inline distT="0" distB="0" distL="0" distR="0">
            <wp:extent cx="1333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Jesús Donato Villar Bendezú</w:t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sz w:val="18"/>
          <w:szCs w:val="18"/>
        </w:rPr>
        <w:t xml:space="preserve">DNI 72906209 – Gerente General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sz w:val="18"/>
          <w:szCs w:val="18"/>
        </w:rPr>
        <w:t xml:space="preserve">CASA BONITA OREGÓN S.A.C.</w:t>
      </w:r>
    </w:p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POLÍTICA DE PREVENCIÓN DEL CONSUMO DE ALCOHOL Y DROGAS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CBO-SST-POL-02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2026-10-14T22:07:35.281Z</dcterms:created>
  <dcterms:modified xsi:type="dcterms:W3CDTF">2026-10-14T22:07:35.281Z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