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jc w:val="center"/>
      </w:pPr>
      <w:r>
        <w:drawing>
          <wp:inline distT="0" distB="0" distL="0" distR="0">
            <wp:extent cx="1619250" cy="1285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200" w:line="276"/>
        <w:jc w:val="center"/>
      </w:pPr>
      <w:r>
        <w:rPr>
          <w:rFonts w:ascii="Arial" w:cs="Arial" w:eastAsia="Arial" w:hAnsi="Arial"/>
          <w:b/>
          <w:bCs/>
          <w:color w:val="0D5C46"/>
          <w:sz w:val="30"/>
          <w:szCs w:val="30"/>
        </w:rPr>
        <w:t xml:space="preserve">CASA BONITA OREGÓN S.A.C.</w:t>
      </w:r>
    </w:p>
    <w:p>
      <w:pPr>
        <w:spacing w:after="600" w:before="0" w:line="276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RUC 20614484153</w:t>
      </w:r>
    </w:p>
    <w:p>
      <w:pPr>
        <w:spacing w:after="200" w:before="0" w:line="276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PLAN DE SEGURIDAD Y SALUD EN EL TRABAJO</w:t>
      </w:r>
    </w:p>
    <w:p>
      <w:pPr>
        <w:spacing w:after="900" w:before="0" w:line="276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ESPECIALIDAD: GASFITERÍA</w:t>
      </w:r>
    </w:p>
    <w:p>
      <w:pPr>
        <w:spacing w:after="100" w:before="0" w:line="276"/>
        <w:jc w:val="center"/>
      </w:pPr>
      <w:r>
        <w:rPr>
          <w:rFonts w:ascii="Arial" w:cs="Arial" w:eastAsia="Arial" w:hAnsi="Arial"/>
          <w:b/>
          <w:bCs/>
          <w:color w:val="0D5C46"/>
          <w:sz w:val="20"/>
          <w:szCs w:val="20"/>
        </w:rPr>
        <w:t xml:space="preserve">CONTROL DE REVISIÓN Y APROBACIÓN DEL DOCUMENTO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13"/>
        <w:gridCol w:w="3213"/>
        <w:gridCol w:w="3212"/>
      </w:tblGrid>
      <w:tr>
        <w:trPr>
          <w:cantSplit/>
          <w:tblHeader/>
        </w:trPr>
        <w:tc>
          <w:tcPr>
            <w:tcW w:type="dxa" w:w="321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ELABORADO POR:</w:t>
            </w:r>
          </w:p>
        </w:tc>
        <w:tc>
          <w:tcPr>
            <w:tcW w:type="dxa" w:w="321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REVISADO POR:</w:t>
            </w:r>
          </w:p>
        </w:tc>
        <w:tc>
          <w:tcPr>
            <w:tcW w:type="dxa" w:w="3212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APROBADO POR:</w:t>
            </w:r>
          </w:p>
        </w:tc>
      </w:tr>
      <w:tr>
        <w:trPr>
          <w:cantSplit/>
          <w:tblHeader w:val="false"/>
        </w:trPr>
        <w:tc>
          <w:tcPr>
            <w:tcW w:type="dxa" w:w="321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bottom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47750" cy="6762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676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Jesús Donato Villar Bendezú</w:t>
            </w:r>
          </w:p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DNI 72906209</w:t>
            </w:r>
          </w:p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GERENTE GENERAL</w:t>
            </w:r>
          </w:p>
        </w:tc>
        <w:tc>
          <w:tcPr>
            <w:tcW w:type="dxa" w:w="321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bottom"/>
          </w:tcPr>
          <w:p>
            <w:pPr>
              <w:spacing w:after="900" w:before="0" w:line="276"/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Nombre: ______________________</w:t>
            </w:r>
          </w:p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RESPONSABLE DE OBRA / SST</w:t>
            </w:r>
          </w:p>
        </w:tc>
        <w:tc>
          <w:tcPr>
            <w:tcW w:type="dxa" w:w="3212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bottom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47750" cy="6762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676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Jesús Donato Villar Bendezú</w:t>
            </w:r>
          </w:p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DNI 72906209</w:t>
            </w:r>
          </w:p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GERENTE GENERAL</w:t>
            </w:r>
          </w:p>
        </w:tc>
      </w:tr>
    </w:tbl>
    <w:p>
      <w:r>
        <w:br w:type="page"/>
      </w:r>
    </w:p>
    <w:p>
      <w:pPr>
        <w:keepNext/>
        <w:pBdr>
          <w:bottom w:val="single" w:color="0D5C46" w:sz="8" w:space="2"/>
        </w:pBdr>
        <w:spacing w:after="100" w:before="240"/>
      </w:pPr>
      <w:r>
        <w:rPr>
          <w:rFonts w:ascii="Arial" w:cs="Arial" w:eastAsia="Arial" w:hAnsi="Arial"/>
          <w:b/>
          <w:bCs/>
          <w:color w:val="0D5C46"/>
          <w:sz w:val="22"/>
          <w:szCs w:val="22"/>
        </w:rPr>
        <w:t xml:space="preserve">1. INTRODUCCIÓN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presente plan se basa en la normativa legal vigente y en la Política de Seguridad y Salud en el Trabajo de CASA BONITA OREGÓN S.A.C., empresa dedicada a las instalaciones sanitarias de agua, desagüe, cisternas, equipos de bombeo y aparatos sanitarios. Está orientado al reforzamiento de la conducta segura de todos los colaboradores, con el liderazgo de la Gerencia General y del responsable de cada obra, para lograr un compromiso permanente con el trabajo seguro y minimizar los accidentes y enfermedades ocupacionales.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plan se ha desarrollado a partir de los procesos y tareas propios de la especialidad de gasfitería, lo que permite identificar con precisión los peligros y evaluar los riesgos mediante la matriz IPERC. Según las normas vigentes, todo empleador está obligado a proveer un lugar de trabajo seguro y saludable, con prácticas y procesos seguros para proteger la vida y la salud de sus trabajadores.</w:t>
      </w:r>
    </w:p>
    <w:p>
      <w:pPr>
        <w:keepNext/>
        <w:pBdr>
          <w:bottom w:val="single" w:color="0D5C46" w:sz="8" w:space="2"/>
        </w:pBdr>
        <w:spacing w:after="100" w:before="240"/>
      </w:pPr>
      <w:r>
        <w:rPr>
          <w:rFonts w:ascii="Arial" w:cs="Arial" w:eastAsia="Arial" w:hAnsi="Arial"/>
          <w:b/>
          <w:bCs/>
          <w:color w:val="0D5C46"/>
          <w:sz w:val="22"/>
          <w:szCs w:val="22"/>
        </w:rPr>
        <w:t xml:space="preserve">2. OBJETIVOS DEL PLAN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Establecer los lineamientos necesarios para un sistema de control sólido que prevenga accidentes y enfermedades ocupacionales en los trabajos de gasfitería, basado en el liderazgo, el compromiso y la gestión efectiva de la seguridad, con la meta de CERO ACCIDENTES.</w:t>
      </w:r>
    </w:p>
    <w:p>
      <w:pPr>
        <w:keepNext/>
        <w:pBdr>
          <w:bottom w:val="single" w:color="0D5C46" w:sz="8" w:space="2"/>
        </w:pBdr>
        <w:spacing w:after="100" w:before="240"/>
      </w:pPr>
      <w:r>
        <w:rPr>
          <w:rFonts w:ascii="Arial" w:cs="Arial" w:eastAsia="Arial" w:hAnsi="Arial"/>
          <w:b/>
          <w:bCs/>
          <w:color w:val="0D5C46"/>
          <w:sz w:val="22"/>
          <w:szCs w:val="22"/>
        </w:rPr>
        <w:t xml:space="preserve">3. ALCANCE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Este plan se aplica a todos los trabajadores y colaboradores de CASA BONITA OREGÓN S.A.C. que participen en actividades de gasfitería, en todas las obras donde la empresa intervenga como contratista o subcontratista, cumpliendo además los estándares de seguridad del contratista principal de cada obra.</w:t>
      </w:r>
    </w:p>
    <w:p>
      <w:pPr>
        <w:keepNext/>
        <w:pBdr>
          <w:bottom w:val="single" w:color="0D5C46" w:sz="8" w:space="2"/>
        </w:pBdr>
        <w:spacing w:after="100" w:before="240"/>
      </w:pPr>
      <w:r>
        <w:rPr>
          <w:rFonts w:ascii="Arial" w:cs="Arial" w:eastAsia="Arial" w:hAnsi="Arial"/>
          <w:b/>
          <w:bCs/>
          <w:color w:val="0D5C46"/>
          <w:sz w:val="22"/>
          <w:szCs w:val="22"/>
        </w:rPr>
        <w:t xml:space="preserve">4. LIDERAZGO, POLÍTICA Y RESPONSABILIDADES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0D5C46"/>
          <w:sz w:val="20"/>
          <w:szCs w:val="20"/>
        </w:rPr>
        <w:t xml:space="preserve">4.1. Liderazgo y compromiso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Gerencia General lidera la gestión de la seguridad y salud en el trabajo, brindando un ambiente de trabajo seguro y saludable e incentivando los actos seguros. Su compromiso se demuestra: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Cumpliendo la normativa legal aplicable en seguridad y salud en el trabajo.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Priorizando la seguridad sobre la productividad y los plazos.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Proveyendo los recursos necesarios: EPP, herramientas en buen estado, capacitación, SCTR y exámenes médicos.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Asumiendo la responsabilidad por la seguridad y salud de todos los colaboradores.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presente documento se emite conforme al artículo 18 del D.S. 011-2019-TR, Reglamento de Seguridad y Salud en el Trabajo para el Sector Construcción.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0D5C46"/>
          <w:sz w:val="20"/>
          <w:szCs w:val="20"/>
        </w:rPr>
        <w:t xml:space="preserve">4.2. Política de Seguridad y Salud en el Trabajo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CASA BONITA OREGÓN S.A.C., dedicada a las instalaciones sanitarias de agua, desagüe, cisternas, equipos de bombeo y aparatos sanitarios, se compromete a: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Proteger la seguridad y salud de todos sus trabajadores, previniendo lesiones, dolencias, enfermedades e incidentes relacionados con el trabajo.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Cumplir la normativa legal vigente en seguridad y salud en el trabajo y los requisitos de sus clientes.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Identificar los peligros, evaluar los riesgos y aplicar medidas de control en todas sus actividades.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Garantizar que los trabajadores sean consultados y participen activamente en la gestión de la seguridad.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Capacitar y entrenar a su personal y mejorar continuamente su desempeño en seguridad y salud en el trabajo.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Prohibir el trabajo bajo los efectos del alcohol o drogas.</w:t>
      </w:r>
    </w:p>
    <w:p>
      <w:pPr>
        <w:spacing w:after="0"/>
        <w:jc w:val="center"/>
      </w:pPr>
      <w:r>
        <w:drawing>
          <wp:inline distT="0" distB="0" distL="0" distR="0">
            <wp:extent cx="1238250" cy="800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 w:line="276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Jesús Donato Villar Bendezú</w:t>
      </w:r>
    </w:p>
    <w:p>
      <w:pPr>
        <w:spacing w:after="120" w:before="0" w:line="276"/>
        <w:jc w:val="center"/>
      </w:pPr>
      <w:r>
        <w:rPr>
          <w:rFonts w:ascii="Arial" w:cs="Arial" w:eastAsia="Arial" w:hAnsi="Arial"/>
          <w:sz w:val="18"/>
          <w:szCs w:val="18"/>
        </w:rPr>
        <w:t xml:space="preserve">DNI 72906209 – Gerente General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0D5C46"/>
          <w:sz w:val="20"/>
          <w:szCs w:val="20"/>
        </w:rPr>
        <w:t xml:space="preserve">4.3. Responsabilidades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➢ Gerente General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Proveer los recursos económicos y el tiempo para implementar y mantener el presente plan.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Aprobar los documentos de SST y supervisar su cumplimiento.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Asegurar que todo trabajador cuente con SCTR (salud y pensión, contratado con La Positiva Seguros), examen médico ocupacional y EPP antes de ingresar a obra.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➢ Responsable de obra / capataz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Planificar los trabajos e implementar las medidas preventivas antes de iniciar las actividades.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Dirigir la charla de 5 minutos y el ATS diario; gestionar los PETAR.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Verificar el uso correcto del EPP y el estado de herramientas y equipos.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Reportar de inmediato todo incidente o accidente al Gerente General y al área SSOMA del contratista principal.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➢ Supervisor de Seguridad y Salud en el Trabajo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Al contar con menos de 20 trabajadores, la empresa elige un Supervisor de SST en lugar de un Comité (Ley 29783, art. 30). Sus funciones son: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Vigilar el cumplimiento del presente plan, el PETS y el uso del EPP.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Realizar inspecciones de herramientas (cinta del color del mes) y de las condiciones de trabajo.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Participar en la investigación de incidentes y accidentes y proponer mejoras.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➢ Trabajadores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Cumplir los procedimientos, estándares e instrucciones de seguridad de la empresa y de la obra.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Usar correctamente el EPP, las herramientas y los equipos, y conservarlos en buen estado.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Participar en capacitaciones, simulacros, charlas y en el llenado del ATS.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Reportar de inmediato todo incidente, accidente o condición insegura.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No manipular ni reparar válvulas, tuberías presurizadas, bombas ni conexiones eléctricas sin capacitación y autorización.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No ingresar a la obra bajo los efectos del alcohol o drogas.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➢ Contratista principal / cliente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CASA BONITA OREGÓN S.A.C. se compromete con el contratista principal a ejecutar los trabajos sin accidentes, en el plazo y la calidad acordados, respetando sus normas internas, sus lineamientos de seguridad y las indicaciones de su área SSOMA.</w:t>
      </w:r>
    </w:p>
    <w:p>
      <w:pPr>
        <w:keepNext/>
        <w:pBdr>
          <w:bottom w:val="single" w:color="0D5C46" w:sz="8" w:space="2"/>
        </w:pBdr>
        <w:spacing w:after="100" w:before="240"/>
      </w:pPr>
      <w:r>
        <w:rPr>
          <w:rFonts w:ascii="Arial" w:cs="Arial" w:eastAsia="Arial" w:hAnsi="Arial"/>
          <w:b/>
          <w:bCs/>
          <w:color w:val="0D5C46"/>
          <w:sz w:val="22"/>
          <w:szCs w:val="22"/>
        </w:rPr>
        <w:t xml:space="preserve">5. ELEMENTOS DEL PLAN DE SST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0D5C46"/>
          <w:sz w:val="20"/>
          <w:szCs w:val="20"/>
        </w:rPr>
        <w:t xml:space="preserve">5.1. Objetivos, metas y programas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13"/>
        <w:gridCol w:w="2313"/>
        <w:gridCol w:w="964"/>
        <w:gridCol w:w="2120"/>
        <w:gridCol w:w="1928"/>
      </w:tblGrid>
      <w:tr>
        <w:trPr>
          <w:cantSplit/>
          <w:tblHeader/>
        </w:trPr>
        <w:tc>
          <w:tcPr>
            <w:tcW w:type="dxa" w:w="231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OBJETIVO</w:t>
            </w:r>
          </w:p>
        </w:tc>
        <w:tc>
          <w:tcPr>
            <w:tcW w:type="dxa" w:w="231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96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META</w:t>
            </w:r>
          </w:p>
        </w:tc>
        <w:tc>
          <w:tcPr>
            <w:tcW w:type="dxa" w:w="212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INDICADOR</w:t>
            </w:r>
          </w:p>
        </w:tc>
        <w:tc>
          <w:tcPr>
            <w:tcW w:type="dxa" w:w="192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RESPONSABLE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Mantener ambientes de trabajo seguros</w:t>
            </w:r>
          </w:p>
        </w:tc>
        <w:tc>
          <w:tcPr>
            <w:tcW w:type="dxa" w:w="231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Inspecciones de herramientas, EPP y área de trabajo</w:t>
            </w:r>
          </w:p>
        </w:tc>
        <w:tc>
          <w:tcPr>
            <w:tcW w:type="dxa" w:w="96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100 %</w:t>
            </w:r>
          </w:p>
        </w:tc>
        <w:tc>
          <w:tcPr>
            <w:tcW w:type="dxa" w:w="212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Inspecciones ejecutadas / programadas</w:t>
            </w:r>
          </w:p>
        </w:tc>
        <w:tc>
          <w:tcPr>
            <w:tcW w:type="dxa" w:w="192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Supervisor de SST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Capacitar al personal</w:t>
            </w:r>
          </w:p>
        </w:tc>
        <w:tc>
          <w:tcPr>
            <w:tcW w:type="dxa" w:w="231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Ejecución del programa de capacitación (5.9)</w:t>
            </w:r>
          </w:p>
        </w:tc>
        <w:tc>
          <w:tcPr>
            <w:tcW w:type="dxa" w:w="96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100 %</w:t>
            </w:r>
          </w:p>
        </w:tc>
        <w:tc>
          <w:tcPr>
            <w:tcW w:type="dxa" w:w="212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Capacitaciones ejecutadas / programadas</w:t>
            </w:r>
          </w:p>
        </w:tc>
        <w:tc>
          <w:tcPr>
            <w:tcW w:type="dxa" w:w="192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Gerente General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Gestionar incidentes y accidentes</w:t>
            </w:r>
          </w:p>
        </w:tc>
        <w:tc>
          <w:tcPr>
            <w:tcW w:type="dxa" w:w="231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Reporte e investigación de todos los eventos</w:t>
            </w:r>
          </w:p>
        </w:tc>
        <w:tc>
          <w:tcPr>
            <w:tcW w:type="dxa" w:w="96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100 %</w:t>
            </w:r>
          </w:p>
        </w:tc>
        <w:tc>
          <w:tcPr>
            <w:tcW w:type="dxa" w:w="212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Eventos investigados / ocurridos</w:t>
            </w:r>
          </w:p>
        </w:tc>
        <w:tc>
          <w:tcPr>
            <w:tcW w:type="dxa" w:w="192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Responsable de obra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Prepararse ante emergencias</w:t>
            </w:r>
          </w:p>
        </w:tc>
        <w:tc>
          <w:tcPr>
            <w:tcW w:type="dxa" w:w="231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Participación en simulacros del contratista principal</w:t>
            </w:r>
          </w:p>
        </w:tc>
        <w:tc>
          <w:tcPr>
            <w:tcW w:type="dxa" w:w="96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100 %</w:t>
            </w:r>
          </w:p>
        </w:tc>
        <w:tc>
          <w:tcPr>
            <w:tcW w:type="dxa" w:w="212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Simulacros asistidos / convocados</w:t>
            </w:r>
          </w:p>
        </w:tc>
        <w:tc>
          <w:tcPr>
            <w:tcW w:type="dxa" w:w="192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Responsable de obra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Cero accidentes</w:t>
            </w:r>
          </w:p>
        </w:tc>
        <w:tc>
          <w:tcPr>
            <w:tcW w:type="dxa" w:w="231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Cumplimiento del ATS, PETS y PETAR</w:t>
            </w:r>
          </w:p>
        </w:tc>
        <w:tc>
          <w:tcPr>
            <w:tcW w:type="dxa" w:w="96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</w:t>
            </w:r>
          </w:p>
        </w:tc>
        <w:tc>
          <w:tcPr>
            <w:tcW w:type="dxa" w:w="212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N.° de accidentes con tiempo perdido</w:t>
            </w:r>
          </w:p>
        </w:tc>
        <w:tc>
          <w:tcPr>
            <w:tcW w:type="dxa" w:w="192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Todos</w:t>
            </w:r>
          </w:p>
        </w:tc>
      </w:tr>
    </w:tbl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0D5C46"/>
          <w:sz w:val="20"/>
          <w:szCs w:val="20"/>
        </w:rPr>
        <w:t xml:space="preserve">5.2. Supervisor de Seguridad y Salud en el Trabajo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De acuerdo con la Ley 29783 y su reglamento, las empresas con menos de 20 trabajadores eligen un Supervisor de SST. La elección se registra en un acta y el supervisor ejerce sus funciones por un periodo de dos años.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2410"/>
        <w:gridCol w:w="2409"/>
      </w:tblGrid>
      <w:tr>
        <w:trPr>
          <w:cantSplit/>
          <w:tblHeader/>
          <w:trHeight w:val="450" w:hRule="atLeast"/>
        </w:trPr>
        <w:tc>
          <w:tcPr>
            <w:tcW w:type="dxa" w:w="4819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SUPERVISOR DE SST</w:t>
            </w:r>
          </w:p>
        </w:tc>
        <w:tc>
          <w:tcPr>
            <w:tcW w:type="dxa" w:w="241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DNI</w:t>
            </w:r>
          </w:p>
        </w:tc>
        <w:tc>
          <w:tcPr>
            <w:tcW w:type="dxa" w:w="2409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FECHA DE ELECCIÓN</w:t>
            </w:r>
          </w:p>
        </w:tc>
      </w:tr>
      <w:tr>
        <w:trPr>
          <w:cantSplit/>
          <w:tblHeader w:val="false"/>
          <w:trHeight w:val="450" w:hRule="atLeast"/>
        </w:trPr>
        <w:tc>
          <w:tcPr>
            <w:tcW w:type="dxa" w:w="4819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41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409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0D5C46"/>
          <w:sz w:val="20"/>
          <w:szCs w:val="20"/>
        </w:rPr>
        <w:t xml:space="preserve">5.3. Requisitos legales aplicables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Ley N.° 29783, Ley de Seguridad y Salud en el Trabajo, y sus modificatorias (Ley 30222 y Ley 31246).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D.S. 005-2012-TR, Reglamento de la Ley de SST, y sus modificatorias (D.S. 006-2014-TR, D.S. 001-2021-TR).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R.M. 050-2013-TR, Formatos referenciales de los registros obligatorios del sistema de gestión de SST.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D.S. 011-2019-TR, Reglamento de SST para el Sector Construcción.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Norma Técnica de Edificación G.050 – Seguridad durante la Construcción.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R.M. 375-2008-TR, Norma Básica de Ergonomía.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Ley N.° 26790 y D.S. 003-98-SA, Seguro Complementario de Trabajo de Riesgo (SCTR).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Ley N.° 28611, Ley General del Ambiente, y Ley N.° 27314, Ley General de Residuos Sólidos.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Reglamento Nacional de Edificaciones, Norma IS.010 – Instalaciones Sanitarias para Edificaciones.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0D5C46"/>
          <w:sz w:val="20"/>
          <w:szCs w:val="20"/>
        </w:rPr>
        <w:t xml:space="preserve">5.4. Identificación de peligros, evaluación de riesgos y controles (IPERC)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empresa identifica de forma continua los peligros, evalúa los riesgos y determina los controles de sus actividades usando la metodología de la R.M. 050-2013-TR.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IPERC línea base:</w:t>
      </w:r>
      <w:r>
        <w:rPr>
          <w:rFonts w:ascii="Arial" w:cs="Arial" w:eastAsia="Arial" w:hAnsi="Arial"/>
          <w:sz w:val="20"/>
          <w:szCs w:val="20"/>
        </w:rPr>
        <w:t xml:space="preserve"> evaluación de todas las tareas de la especialidad; se actualiza una vez al año o cuando cambien los procesos, equipos o materiales, ocurra un accidente o cambie la legislación.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IPERC continuo (ATS):</w:t>
      </w:r>
      <w:r>
        <w:rPr>
          <w:rFonts w:ascii="Arial" w:cs="Arial" w:eastAsia="Arial" w:hAnsi="Arial"/>
          <w:sz w:val="20"/>
          <w:szCs w:val="20"/>
        </w:rPr>
        <w:t xml:space="preserve"> se realiza en campo antes de cada tarea, en equipo, con la firma de todos los participantes.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➢ Valoración de la probabilidad (IPE + IP + IC + IF)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71"/>
        <w:gridCol w:w="1638"/>
        <w:gridCol w:w="2410"/>
        <w:gridCol w:w="2410"/>
        <w:gridCol w:w="2409"/>
      </w:tblGrid>
      <w:tr>
        <w:trPr>
          <w:cantSplit/>
          <w:tblHeader/>
        </w:trPr>
        <w:tc>
          <w:tcPr>
            <w:tcW w:type="dxa" w:w="77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VALOR</w:t>
            </w:r>
          </w:p>
        </w:tc>
        <w:tc>
          <w:tcPr>
            <w:tcW w:type="dxa" w:w="163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PERSONAS EXPUESTAS</w:t>
            </w:r>
          </w:p>
        </w:tc>
        <w:tc>
          <w:tcPr>
            <w:tcW w:type="dxa" w:w="241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PROCEDIMIENTOS Y CONTROLES</w:t>
            </w:r>
          </w:p>
        </w:tc>
        <w:tc>
          <w:tcPr>
            <w:tcW w:type="dxa" w:w="241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CAPACITACIÓN</w:t>
            </w:r>
          </w:p>
        </w:tc>
        <w:tc>
          <w:tcPr>
            <w:tcW w:type="dxa" w:w="2409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FRECUENCIA DE EXPOSICIÓN</w:t>
            </w:r>
          </w:p>
        </w:tc>
      </w:tr>
      <w:tr>
        <w:trPr>
          <w:cantSplit/>
          <w:tblHeader w:val="false"/>
        </w:trPr>
        <w:tc>
          <w:tcPr>
            <w:tcW w:type="dxa" w:w="77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163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 1 a 3</w:t>
            </w:r>
          </w:p>
        </w:tc>
        <w:tc>
          <w:tcPr>
            <w:tcW w:type="dxa" w:w="241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Existen, son suficientes y eficaces</w:t>
            </w:r>
          </w:p>
        </w:tc>
        <w:tc>
          <w:tcPr>
            <w:tcW w:type="dxa" w:w="241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Personal entrenado, advierte y controla el peligro</w:t>
            </w:r>
          </w:p>
        </w:tc>
        <w:tc>
          <w:tcPr>
            <w:tcW w:type="dxa" w:w="2409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Alguna vez en su jornada / al menos una vez al año</w:t>
            </w:r>
          </w:p>
        </w:tc>
      </w:tr>
      <w:tr>
        <w:trPr>
          <w:cantSplit/>
          <w:tblHeader w:val="false"/>
        </w:trPr>
        <w:tc>
          <w:tcPr>
            <w:tcW w:type="dxa" w:w="77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163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 4 a 12</w:t>
            </w:r>
          </w:p>
        </w:tc>
        <w:tc>
          <w:tcPr>
            <w:tcW w:type="dxa" w:w="241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Existen parcialmente o falta mejorar su eficacia</w:t>
            </w:r>
          </w:p>
        </w:tc>
        <w:tc>
          <w:tcPr>
            <w:tcW w:type="dxa" w:w="241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Personal parcialmente capacitado</w:t>
            </w:r>
          </w:p>
        </w:tc>
        <w:tc>
          <w:tcPr>
            <w:tcW w:type="dxa" w:w="2409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Varias veces en su jornada / al menos una vez al mes</w:t>
            </w:r>
          </w:p>
        </w:tc>
      </w:tr>
      <w:tr>
        <w:trPr>
          <w:cantSplit/>
          <w:tblHeader w:val="false"/>
        </w:trPr>
        <w:tc>
          <w:tcPr>
            <w:tcW w:type="dxa" w:w="77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163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Más de 12</w:t>
            </w:r>
          </w:p>
        </w:tc>
        <w:tc>
          <w:tcPr>
            <w:tcW w:type="dxa" w:w="241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existen</w:t>
            </w:r>
          </w:p>
        </w:tc>
        <w:tc>
          <w:tcPr>
            <w:tcW w:type="dxa" w:w="241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Personal sin capacitación</w:t>
            </w:r>
          </w:p>
        </w:tc>
        <w:tc>
          <w:tcPr>
            <w:tcW w:type="dxa" w:w="2409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Exposición permanente / al menos una vez al día</w:t>
            </w:r>
          </w:p>
        </w:tc>
      </w:tr>
    </w:tbl>
    <w:p>
      <w:pPr>
        <w:keepNext/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➢ Valoración de la severidad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4"/>
        <w:gridCol w:w="4337"/>
        <w:gridCol w:w="4337"/>
      </w:tblGrid>
      <w:tr>
        <w:trPr>
          <w:cantSplit/>
          <w:tblHeader/>
        </w:trPr>
        <w:tc>
          <w:tcPr>
            <w:tcW w:type="dxa" w:w="96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VALOR</w:t>
            </w:r>
          </w:p>
        </w:tc>
        <w:tc>
          <w:tcPr>
            <w:tcW w:type="dxa" w:w="433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SEGURIDAD</w:t>
            </w:r>
          </w:p>
        </w:tc>
        <w:tc>
          <w:tcPr>
            <w:tcW w:type="dxa" w:w="433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SALUD</w:t>
            </w:r>
          </w:p>
        </w:tc>
      </w:tr>
      <w:tr>
        <w:trPr>
          <w:cantSplit/>
          <w:tblHeader w:val="false"/>
        </w:trPr>
        <w:tc>
          <w:tcPr>
            <w:tcW w:type="dxa" w:w="96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433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Lesión sin incapacidad</w:t>
            </w:r>
          </w:p>
        </w:tc>
        <w:tc>
          <w:tcPr>
            <w:tcW w:type="dxa" w:w="433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Disconfort o incomodidad</w:t>
            </w:r>
          </w:p>
        </w:tc>
      </w:tr>
      <w:tr>
        <w:trPr>
          <w:cantSplit/>
          <w:tblHeader w:val="false"/>
        </w:trPr>
        <w:tc>
          <w:tcPr>
            <w:tcW w:type="dxa" w:w="96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433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Lesión con incapacidad temporal</w:t>
            </w:r>
          </w:p>
        </w:tc>
        <w:tc>
          <w:tcPr>
            <w:tcW w:type="dxa" w:w="433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Enfermedad curable</w:t>
            </w:r>
          </w:p>
        </w:tc>
      </w:tr>
      <w:tr>
        <w:trPr>
          <w:cantSplit/>
          <w:tblHeader w:val="false"/>
        </w:trPr>
        <w:tc>
          <w:tcPr>
            <w:tcW w:type="dxa" w:w="96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433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Lesión con incapacidad permanente o muerte</w:t>
            </w:r>
          </w:p>
        </w:tc>
        <w:tc>
          <w:tcPr>
            <w:tcW w:type="dxa" w:w="433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Enfermedad irreversible o mortal</w:t>
            </w:r>
          </w:p>
        </w:tc>
      </w:tr>
    </w:tbl>
    <w:p>
      <w:pPr>
        <w:keepNext/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➢ Nivel de riesgo = Probabilidad × Severidad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7"/>
        <w:gridCol w:w="1542"/>
        <w:gridCol w:w="5205"/>
        <w:gridCol w:w="1734"/>
      </w:tblGrid>
      <w:tr>
        <w:trPr>
          <w:cantSplit/>
          <w:tblHeader/>
        </w:trPr>
        <w:tc>
          <w:tcPr>
            <w:tcW w:type="dxa" w:w="115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PUNTAJE</w:t>
            </w:r>
          </w:p>
        </w:tc>
        <w:tc>
          <w:tcPr>
            <w:tcW w:type="dxa" w:w="1542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NIVEL</w:t>
            </w:r>
          </w:p>
        </w:tc>
        <w:tc>
          <w:tcPr>
            <w:tcW w:type="dxa" w:w="5205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INTERPRETACIÓN</w:t>
            </w:r>
          </w:p>
        </w:tc>
        <w:tc>
          <w:tcPr>
            <w:tcW w:type="dxa" w:w="173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SIGNIFICANCIA</w:t>
            </w:r>
          </w:p>
        </w:tc>
      </w:tr>
      <w:tr>
        <w:trPr>
          <w:cantSplit/>
          <w:tblHeader w:val="false"/>
        </w:trPr>
        <w:tc>
          <w:tcPr>
            <w:tcW w:type="dxa" w:w="115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 o menos</w:t>
            </w:r>
          </w:p>
        </w:tc>
        <w:tc>
          <w:tcPr>
            <w:tcW w:type="dxa" w:w="1542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Trivial</w:t>
            </w:r>
          </w:p>
        </w:tc>
        <w:tc>
          <w:tcPr>
            <w:tcW w:type="dxa" w:w="5205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se necesita adoptar ninguna acción.</w:t>
            </w:r>
          </w:p>
        </w:tc>
        <w:tc>
          <w:tcPr>
            <w:tcW w:type="dxa" w:w="173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Aceptable</w:t>
            </w:r>
          </w:p>
        </w:tc>
      </w:tr>
      <w:tr>
        <w:trPr>
          <w:cantSplit/>
          <w:tblHeader w:val="false"/>
        </w:trPr>
        <w:tc>
          <w:tcPr>
            <w:tcW w:type="dxa" w:w="115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 – 8</w:t>
            </w:r>
          </w:p>
        </w:tc>
        <w:tc>
          <w:tcPr>
            <w:tcW w:type="dxa" w:w="1542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Tolerable</w:t>
            </w:r>
          </w:p>
        </w:tc>
        <w:tc>
          <w:tcPr>
            <w:tcW w:type="dxa" w:w="5205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Mantener los controles y verificarlos periódicamente.</w:t>
            </w:r>
          </w:p>
        </w:tc>
        <w:tc>
          <w:tcPr>
            <w:tcW w:type="dxa" w:w="173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Aceptable</w:t>
            </w:r>
          </w:p>
        </w:tc>
      </w:tr>
      <w:tr>
        <w:trPr>
          <w:cantSplit/>
          <w:tblHeader w:val="false"/>
        </w:trPr>
        <w:tc>
          <w:tcPr>
            <w:tcW w:type="dxa" w:w="115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 – 16</w:t>
            </w:r>
          </w:p>
        </w:tc>
        <w:tc>
          <w:tcPr>
            <w:tcW w:type="dxa" w:w="1542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Moderado</w:t>
            </w:r>
          </w:p>
        </w:tc>
        <w:tc>
          <w:tcPr>
            <w:tcW w:type="dxa" w:w="5205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Implementar medidas para reducir el riesgo en un periodo determinado.</w:t>
            </w:r>
          </w:p>
        </w:tc>
        <w:tc>
          <w:tcPr>
            <w:tcW w:type="dxa" w:w="173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Aceptable</w:t>
            </w:r>
          </w:p>
        </w:tc>
      </w:tr>
      <w:tr>
        <w:trPr>
          <w:cantSplit/>
          <w:tblHeader w:val="false"/>
        </w:trPr>
        <w:tc>
          <w:tcPr>
            <w:tcW w:type="dxa" w:w="115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17 – 24</w:t>
            </w:r>
          </w:p>
        </w:tc>
        <w:tc>
          <w:tcPr>
            <w:tcW w:type="dxa" w:w="1542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Importante</w:t>
            </w:r>
          </w:p>
        </w:tc>
        <w:tc>
          <w:tcPr>
            <w:tcW w:type="dxa" w:w="5205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iniciar el trabajo hasta reducir el riesgo.</w:t>
            </w:r>
          </w:p>
        </w:tc>
        <w:tc>
          <w:tcPr>
            <w:tcW w:type="dxa" w:w="173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aceptable</w:t>
            </w:r>
          </w:p>
        </w:tc>
      </w:tr>
      <w:tr>
        <w:trPr>
          <w:cantSplit/>
          <w:tblHeader w:val="false"/>
        </w:trPr>
        <w:tc>
          <w:tcPr>
            <w:tcW w:type="dxa" w:w="115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25 – 36</w:t>
            </w:r>
          </w:p>
        </w:tc>
        <w:tc>
          <w:tcPr>
            <w:tcW w:type="dxa" w:w="1542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Intolerable</w:t>
            </w:r>
          </w:p>
        </w:tc>
        <w:tc>
          <w:tcPr>
            <w:tcW w:type="dxa" w:w="5205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iniciar ni continuar el trabajo; si no se reduce el riesgo, se prohíbe.</w:t>
            </w:r>
          </w:p>
        </w:tc>
        <w:tc>
          <w:tcPr>
            <w:tcW w:type="dxa" w:w="173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aceptable</w:t>
            </w:r>
          </w:p>
        </w:tc>
      </w:tr>
    </w:tbl>
    <w:p>
      <w:pPr>
        <w:keepNext/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➢ Resumen de peligros y controles de la especialidad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13"/>
        <w:gridCol w:w="2313"/>
        <w:gridCol w:w="2120"/>
        <w:gridCol w:w="2892"/>
      </w:tblGrid>
      <w:tr>
        <w:trPr>
          <w:cantSplit/>
          <w:tblHeader/>
        </w:trPr>
        <w:tc>
          <w:tcPr>
            <w:tcW w:type="dxa" w:w="231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TAREA</w:t>
            </w:r>
          </w:p>
        </w:tc>
        <w:tc>
          <w:tcPr>
            <w:tcW w:type="dxa" w:w="231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PELIGRO</w:t>
            </w:r>
          </w:p>
        </w:tc>
        <w:tc>
          <w:tcPr>
            <w:tcW w:type="dxa" w:w="212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RIESGO</w:t>
            </w:r>
          </w:p>
        </w:tc>
        <w:tc>
          <w:tcPr>
            <w:tcW w:type="dxa" w:w="2892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CONTROL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Excavación de zanjas</w:t>
            </w:r>
          </w:p>
        </w:tc>
        <w:tc>
          <w:tcPr>
            <w:tcW w:type="dxa" w:w="231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Paredes inestables, material al borde</w:t>
            </w:r>
          </w:p>
        </w:tc>
        <w:tc>
          <w:tcPr>
            <w:tcW w:type="dxa" w:w="212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Derrumbe, caída a zanja</w:t>
            </w:r>
          </w:p>
        </w:tc>
        <w:tc>
          <w:tcPr>
            <w:tcW w:type="dxa" w:w="2892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Material a 0.60 m, entibado &gt; 1.50 m, PETAR, señalización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Trabajo en cisterna</w:t>
            </w:r>
          </w:p>
        </w:tc>
        <w:tc>
          <w:tcPr>
            <w:tcW w:type="dxa" w:w="231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Espacio confinado</w:t>
            </w:r>
          </w:p>
        </w:tc>
        <w:tc>
          <w:tcPr>
            <w:tcW w:type="dxa" w:w="212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Asfixia, intoxicación</w:t>
            </w:r>
          </w:p>
        </w:tc>
        <w:tc>
          <w:tcPr>
            <w:tcW w:type="dxa" w:w="2892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PETAR, ventilación, vigía, rescate desde el exterior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Termofusión PPR</w:t>
            </w:r>
          </w:p>
        </w:tc>
        <w:tc>
          <w:tcPr>
            <w:tcW w:type="dxa" w:w="231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Superficie a 260 °C, energía eléctrica</w:t>
            </w:r>
          </w:p>
        </w:tc>
        <w:tc>
          <w:tcPr>
            <w:tcW w:type="dxa" w:w="212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Quemaduras, contacto eléctrico</w:t>
            </w:r>
          </w:p>
        </w:tc>
        <w:tc>
          <w:tcPr>
            <w:tcW w:type="dxa" w:w="2892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Guantes térmicos, soporte, extensión con tierra y diferencial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Unión PVC</w:t>
            </w:r>
          </w:p>
        </w:tc>
        <w:tc>
          <w:tcPr>
            <w:tcW w:type="dxa" w:w="231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Pegamento y limpiador</w:t>
            </w:r>
          </w:p>
        </w:tc>
        <w:tc>
          <w:tcPr>
            <w:tcW w:type="dxa" w:w="212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Inhalación, irritación, incendio</w:t>
            </w:r>
          </w:p>
        </w:tc>
        <w:tc>
          <w:tcPr>
            <w:tcW w:type="dxa" w:w="2892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Ventilación, respirador, guantes de nitrilo, lejos de calor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Picado y perforación</w:t>
            </w:r>
          </w:p>
        </w:tc>
        <w:tc>
          <w:tcPr>
            <w:tcW w:type="dxa" w:w="231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Partículas, ruido, polvo</w:t>
            </w:r>
          </w:p>
        </w:tc>
        <w:tc>
          <w:tcPr>
            <w:tcW w:type="dxa" w:w="212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Lesión ocular, hipoacusia</w:t>
            </w:r>
          </w:p>
        </w:tc>
        <w:tc>
          <w:tcPr>
            <w:tcW w:type="dxa" w:w="2892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Lentes/careta, tapones, respirador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Salidas por losa y montantes</w:t>
            </w:r>
          </w:p>
        </w:tc>
        <w:tc>
          <w:tcPr>
            <w:tcW w:type="dxa" w:w="231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Trabajo en altura, aberturas</w:t>
            </w:r>
          </w:p>
        </w:tc>
        <w:tc>
          <w:tcPr>
            <w:tcW w:type="dxa" w:w="212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Caída a distinto nivel</w:t>
            </w:r>
          </w:p>
        </w:tc>
        <w:tc>
          <w:tcPr>
            <w:tcW w:type="dxa" w:w="2892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Arnés y línea de vida, PETAR, protección de aberturas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Prueba hidráulica</w:t>
            </w:r>
          </w:p>
        </w:tc>
        <w:tc>
          <w:tcPr>
            <w:tcW w:type="dxa" w:w="231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Red presurizada</w:t>
            </w:r>
          </w:p>
        </w:tc>
        <w:tc>
          <w:tcPr>
            <w:tcW w:type="dxa" w:w="212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Golpe por desacople</w:t>
            </w:r>
          </w:p>
        </w:tc>
        <w:tc>
          <w:tcPr>
            <w:tcW w:type="dxa" w:w="2892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exceder presión, alejarse de tapones, lentes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Aparatos sanitarios</w:t>
            </w:r>
          </w:p>
        </w:tc>
        <w:tc>
          <w:tcPr>
            <w:tcW w:type="dxa" w:w="231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Cargas pesadas, loza rota</w:t>
            </w:r>
          </w:p>
        </w:tc>
        <w:tc>
          <w:tcPr>
            <w:tcW w:type="dxa" w:w="212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Sobreesfuerzo, cortes</w:t>
            </w:r>
          </w:p>
        </w:tc>
        <w:tc>
          <w:tcPr>
            <w:tcW w:type="dxa" w:w="2892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Carga entre dos, guantes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Desatoros y mantenimiento</w:t>
            </w:r>
          </w:p>
        </w:tc>
        <w:tc>
          <w:tcPr>
            <w:tcW w:type="dxa" w:w="231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Aguas residuales</w:t>
            </w:r>
          </w:p>
        </w:tc>
        <w:tc>
          <w:tcPr>
            <w:tcW w:type="dxa" w:w="212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Infección</w:t>
            </w:r>
          </w:p>
        </w:tc>
        <w:tc>
          <w:tcPr>
            <w:tcW w:type="dxa" w:w="2892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Guantes de nitrilo, lentes, lavado de manos</w:t>
            </w:r>
          </w:p>
        </w:tc>
      </w:tr>
    </w:tbl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0D5C46"/>
          <w:sz w:val="20"/>
          <w:szCs w:val="20"/>
        </w:rPr>
        <w:t xml:space="preserve">5.5. Mapa de riesgos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En coordinación con el contratista principal, se identificarán en el mapa de riesgos de la obra las zonas de trabajo de la especialidad, las rutas de evacuación, el punto de reunión y la ubicación del botiquín y extintores, conforme a la NTP 399.010-1 de señales de seguridad.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0D5C46"/>
          <w:sz w:val="20"/>
          <w:szCs w:val="20"/>
        </w:rPr>
        <w:t xml:space="preserve">5.6. Vigilancia de la salud de los trabajadores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Examen médico ocupacional pre-ocupacional, periódico y de retiro, según la normativa vigente.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Evaluaciones de agudeza visual y auditiva, musculoesquelética y respiratoria según el puesto.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Test de altura (aptitud física y psicológica) para el personal que trabaja a 1.80 m o más.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Cobertura de todo el personal con SCTR salud y pensión: La Positiva Seguros – SCTR Pensión póliza N.° 30485346 / SCTR Salud contrato N.° 9361507, con renovación mensual de la constancia.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Vacunación contra el tétanos y la hepatitis B para el personal expuesto a aguas residuales.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0D5C46"/>
          <w:sz w:val="20"/>
          <w:szCs w:val="20"/>
        </w:rPr>
        <w:t xml:space="preserve">5.7. Trabajos de alto riesgo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Los siguientes trabajos requieren ATS y PETAR autorizado antes de su inicio, así como personal capacitado y el procedimiento específico (PETS):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Trabajos en altura:</w:t>
      </w:r>
      <w:r>
        <w:rPr>
          <w:rFonts w:ascii="Arial" w:cs="Arial" w:eastAsia="Arial" w:hAnsi="Arial"/>
          <w:sz w:val="20"/>
          <w:szCs w:val="20"/>
        </w:rPr>
        <w:t xml:space="preserve"> salidas por losa, montantes, ductos, tanque elevado (1.80 m o más).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Excavaciones:</w:t>
      </w:r>
      <w:r>
        <w:rPr>
          <w:rFonts w:ascii="Arial" w:cs="Arial" w:eastAsia="Arial" w:hAnsi="Arial"/>
          <w:sz w:val="20"/>
          <w:szCs w:val="20"/>
        </w:rPr>
        <w:t xml:space="preserve"> zanjas de más de 1.50 m de profundidad para redes exteriores.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Espacios confinados:</w:t>
      </w:r>
      <w:r>
        <w:rPr>
          <w:rFonts w:ascii="Arial" w:cs="Arial" w:eastAsia="Arial" w:hAnsi="Arial"/>
          <w:sz w:val="20"/>
          <w:szCs w:val="20"/>
        </w:rPr>
        <w:t xml:space="preserve"> trabajos dentro de cisternas y buzones.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Trabajos en caliente:</w:t>
      </w:r>
      <w:r>
        <w:rPr>
          <w:rFonts w:ascii="Arial" w:cs="Arial" w:eastAsia="Arial" w:hAnsi="Arial"/>
          <w:sz w:val="20"/>
          <w:szCs w:val="20"/>
        </w:rPr>
        <w:t xml:space="preserve"> termofusión en zonas con materiales inflamables, cuando la obra lo requiera.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0D5C46"/>
          <w:sz w:val="20"/>
          <w:szCs w:val="20"/>
        </w:rPr>
        <w:t xml:space="preserve">5.8. Equipos de protección personal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62"/>
        <w:gridCol w:w="5976"/>
      </w:tblGrid>
      <w:tr>
        <w:trPr>
          <w:cantSplit/>
          <w:tblHeader/>
        </w:trPr>
        <w:tc>
          <w:tcPr>
            <w:tcW w:type="dxa" w:w="3662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EPP</w:t>
            </w:r>
          </w:p>
        </w:tc>
        <w:tc>
          <w:tcPr>
            <w:tcW w:type="dxa" w:w="597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USO OBLIGATORIO EN</w:t>
            </w:r>
          </w:p>
        </w:tc>
      </w:tr>
      <w:tr>
        <w:trPr>
          <w:cantSplit/>
          <w:tblHeader w:val="false"/>
        </w:trPr>
        <w:tc>
          <w:tcPr>
            <w:tcW w:type="dxa" w:w="3662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Casco con barbiquejo</w:t>
            </w:r>
          </w:p>
        </w:tc>
        <w:tc>
          <w:tcPr>
            <w:tcW w:type="dxa" w:w="597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Todas las actividades en obra</w:t>
            </w:r>
          </w:p>
        </w:tc>
      </w:tr>
      <w:tr>
        <w:trPr>
          <w:cantSplit/>
          <w:tblHeader w:val="false"/>
        </w:trPr>
        <w:tc>
          <w:tcPr>
            <w:tcW w:type="dxa" w:w="3662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Zapatos de seguridad con punta de acero</w:t>
            </w:r>
          </w:p>
        </w:tc>
        <w:tc>
          <w:tcPr>
            <w:tcW w:type="dxa" w:w="597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Todas las actividades en obra</w:t>
            </w:r>
          </w:p>
        </w:tc>
      </w:tr>
      <w:tr>
        <w:trPr>
          <w:cantSplit/>
          <w:tblHeader w:val="false"/>
        </w:trPr>
        <w:tc>
          <w:tcPr>
            <w:tcW w:type="dxa" w:w="3662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Lentes de seguridad</w:t>
            </w:r>
          </w:p>
        </w:tc>
        <w:tc>
          <w:tcPr>
            <w:tcW w:type="dxa" w:w="597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Corte, perforación, picado y trabajos con proyección de partículas</w:t>
            </w:r>
          </w:p>
        </w:tc>
      </w:tr>
      <w:tr>
        <w:trPr>
          <w:cantSplit/>
          <w:tblHeader w:val="false"/>
        </w:trPr>
        <w:tc>
          <w:tcPr>
            <w:tcW w:type="dxa" w:w="3662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Guantes de badana o anticorte</w:t>
            </w:r>
          </w:p>
        </w:tc>
        <w:tc>
          <w:tcPr>
            <w:tcW w:type="dxa" w:w="597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Manipulación de materiales y herramientas</w:t>
            </w:r>
          </w:p>
        </w:tc>
      </w:tr>
      <w:tr>
        <w:trPr>
          <w:cantSplit/>
          <w:tblHeader w:val="false"/>
        </w:trPr>
        <w:tc>
          <w:tcPr>
            <w:tcW w:type="dxa" w:w="3662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Tapones auditivos</w:t>
            </w:r>
          </w:p>
        </w:tc>
        <w:tc>
          <w:tcPr>
            <w:tcW w:type="dxa" w:w="597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Uso de taladro, rotomartillo y amoladora</w:t>
            </w:r>
          </w:p>
        </w:tc>
      </w:tr>
      <w:tr>
        <w:trPr>
          <w:cantSplit/>
          <w:tblHeader w:val="false"/>
        </w:trPr>
        <w:tc>
          <w:tcPr>
            <w:tcW w:type="dxa" w:w="3662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Respirador contra polvo</w:t>
            </w:r>
          </w:p>
        </w:tc>
        <w:tc>
          <w:tcPr>
            <w:tcW w:type="dxa" w:w="597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Picado y perforación de muros</w:t>
            </w:r>
          </w:p>
        </w:tc>
      </w:tr>
      <w:tr>
        <w:trPr>
          <w:cantSplit/>
          <w:tblHeader w:val="false"/>
        </w:trPr>
        <w:tc>
          <w:tcPr>
            <w:tcW w:type="dxa" w:w="3662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Arnés de cuerpo completo y línea de vida</w:t>
            </w:r>
          </w:p>
        </w:tc>
        <w:tc>
          <w:tcPr>
            <w:tcW w:type="dxa" w:w="597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Trabajos a 1.80 m o más</w:t>
            </w:r>
          </w:p>
        </w:tc>
      </w:tr>
      <w:tr>
        <w:trPr>
          <w:cantSplit/>
          <w:tblHeader w:val="false"/>
        </w:trPr>
        <w:tc>
          <w:tcPr>
            <w:tcW w:type="dxa" w:w="3662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Chaleco reflectivo</w:t>
            </w:r>
          </w:p>
        </w:tc>
        <w:tc>
          <w:tcPr>
            <w:tcW w:type="dxa" w:w="597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Todas las actividades en obra</w:t>
            </w:r>
          </w:p>
        </w:tc>
      </w:tr>
      <w:tr>
        <w:trPr>
          <w:cantSplit/>
          <w:tblHeader w:val="false"/>
        </w:trPr>
        <w:tc>
          <w:tcPr>
            <w:tcW w:type="dxa" w:w="3662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Guantes térmicos o de cuero</w:t>
            </w:r>
          </w:p>
        </w:tc>
        <w:tc>
          <w:tcPr>
            <w:tcW w:type="dxa" w:w="597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Termofusión de tuberías PPR</w:t>
            </w:r>
          </w:p>
        </w:tc>
      </w:tr>
      <w:tr>
        <w:trPr>
          <w:cantSplit/>
          <w:tblHeader w:val="false"/>
        </w:trPr>
        <w:tc>
          <w:tcPr>
            <w:tcW w:type="dxa" w:w="3662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Guantes de nitrilo y respirador para vapores orgánicos</w:t>
            </w:r>
          </w:p>
        </w:tc>
        <w:tc>
          <w:tcPr>
            <w:tcW w:type="dxa" w:w="597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Uso de pegamento y limpiador PVC; desatoros</w:t>
            </w:r>
          </w:p>
        </w:tc>
      </w:tr>
      <w:tr>
        <w:trPr>
          <w:cantSplit/>
          <w:tblHeader w:val="false"/>
        </w:trPr>
        <w:tc>
          <w:tcPr>
            <w:tcW w:type="dxa" w:w="3662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Botas de jebe con punta de acero</w:t>
            </w:r>
          </w:p>
        </w:tc>
        <w:tc>
          <w:tcPr>
            <w:tcW w:type="dxa" w:w="597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Zanjas con agua y pruebas hidráulicas</w:t>
            </w:r>
          </w:p>
        </w:tc>
      </w:tr>
    </w:tbl>
    <w:p>
      <w:pPr>
        <w:spacing w:after="100" w:before="60" w:line="276"/>
        <w:jc w:val="both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La entrega y reposición de EPP se registra en el formato CBO-SST-REG-01.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0D5C46"/>
          <w:sz w:val="20"/>
          <w:szCs w:val="20"/>
        </w:rPr>
        <w:t xml:space="preserve">5.9. Programa de capacitación, sensibilización y entrenamiento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Las capacitaciones se realizan al momento de la contratación, ante cambios de puesto, tarea o tecnología, y según el cronograma anual. Además, se realiza la charla de 5 minutos todos los días antes de iniciar los trabajos.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70"/>
        <w:gridCol w:w="1542"/>
        <w:gridCol w:w="386"/>
        <w:gridCol w:w="386"/>
        <w:gridCol w:w="386"/>
        <w:gridCol w:w="386"/>
        <w:gridCol w:w="386"/>
        <w:gridCol w:w="386"/>
        <w:gridCol w:w="386"/>
        <w:gridCol w:w="386"/>
        <w:gridCol w:w="386"/>
        <w:gridCol w:w="386"/>
        <w:gridCol w:w="386"/>
        <w:gridCol w:w="380"/>
      </w:tblGrid>
      <w:tr>
        <w:trPr>
          <w:cantSplit/>
          <w:tblHeader/>
        </w:trPr>
        <w:tc>
          <w:tcPr>
            <w:tcW w:type="dxa" w:w="347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TEMA</w:t>
            </w:r>
          </w:p>
        </w:tc>
        <w:tc>
          <w:tcPr>
            <w:tcW w:type="dxa" w:w="1542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RESPONSABLE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J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J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</w:t>
            </w:r>
          </w:p>
        </w:tc>
        <w:tc>
          <w:tcPr>
            <w:tcW w:type="dxa" w:w="38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</w:t>
            </w:r>
          </w:p>
        </w:tc>
      </w:tr>
      <w:tr>
        <w:trPr>
          <w:cantSplit/>
          <w:tblHeader w:val="false"/>
        </w:trPr>
        <w:tc>
          <w:tcPr>
            <w:tcW w:type="dxa" w:w="347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Inducción de seguridad y política de SST</w:t>
            </w:r>
          </w:p>
        </w:tc>
        <w:tc>
          <w:tcPr>
            <w:tcW w:type="dxa" w:w="1542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Gerente General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347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Uso, cuidado y reposición del EPP</w:t>
            </w:r>
          </w:p>
        </w:tc>
        <w:tc>
          <w:tcPr>
            <w:tcW w:type="dxa" w:w="1542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Supervisor de SST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347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Llenado del ATS y del PETAR</w:t>
            </w:r>
          </w:p>
        </w:tc>
        <w:tc>
          <w:tcPr>
            <w:tcW w:type="dxa" w:w="1542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Responsable de obra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347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Trabajos en altura y sistema anticaídas</w:t>
            </w:r>
          </w:p>
        </w:tc>
        <w:tc>
          <w:tcPr>
            <w:tcW w:type="dxa" w:w="1542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Externo / Supervisor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347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Uso seguro de escaleras y andamios</w:t>
            </w:r>
          </w:p>
        </w:tc>
        <w:tc>
          <w:tcPr>
            <w:tcW w:type="dxa" w:w="1542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Supervisor de SST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347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Primeros auxilios y respuesta ante emergencias</w:t>
            </w:r>
          </w:p>
        </w:tc>
        <w:tc>
          <w:tcPr>
            <w:tcW w:type="dxa" w:w="1542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Externo / Supervisor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347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Uso de extintores y prevención de incendios</w:t>
            </w:r>
          </w:p>
        </w:tc>
        <w:tc>
          <w:tcPr>
            <w:tcW w:type="dxa" w:w="1542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Supervisor de SST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</w:tr>
      <w:tr>
        <w:trPr>
          <w:cantSplit/>
          <w:tblHeader w:val="false"/>
        </w:trPr>
        <w:tc>
          <w:tcPr>
            <w:tcW w:type="dxa" w:w="347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Ergonomía y levantamiento de cargas</w:t>
            </w:r>
          </w:p>
        </w:tc>
        <w:tc>
          <w:tcPr>
            <w:tcW w:type="dxa" w:w="1542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Supervisor de SST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347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Orden, limpieza y manejo de residuos</w:t>
            </w:r>
          </w:p>
        </w:tc>
        <w:tc>
          <w:tcPr>
            <w:tcW w:type="dxa" w:w="1542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Responsable de obra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347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Excavaciones y zanjas</w:t>
            </w:r>
          </w:p>
        </w:tc>
        <w:tc>
          <w:tcPr>
            <w:tcW w:type="dxa" w:w="1542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Supervisor de SST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347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Trabajo en espacios confinados (cisternas)</w:t>
            </w:r>
          </w:p>
        </w:tc>
        <w:tc>
          <w:tcPr>
            <w:tcW w:type="dxa" w:w="1542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Externo / Supervisor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347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Uso seguro de la termofusora</w:t>
            </w:r>
          </w:p>
        </w:tc>
        <w:tc>
          <w:tcPr>
            <w:tcW w:type="dxa" w:w="1542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Responsable de obra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347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Manejo de productos químicos (pegamento PVC)</w:t>
            </w:r>
          </w:p>
        </w:tc>
        <w:tc>
          <w:tcPr>
            <w:tcW w:type="dxa" w:w="1542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Supervisor de SST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</w:tr>
    </w:tbl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0D5C46"/>
          <w:sz w:val="20"/>
          <w:szCs w:val="20"/>
        </w:rPr>
        <w:t xml:space="preserve">5.10. Programa de inspecciones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Las inspecciones permiten detectar y corregir condiciones y actos subestándar antes de que causen accidentes. Sus resultados se registran y se comunican al Gerente General.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70"/>
        <w:gridCol w:w="1542"/>
        <w:gridCol w:w="386"/>
        <w:gridCol w:w="386"/>
        <w:gridCol w:w="386"/>
        <w:gridCol w:w="386"/>
        <w:gridCol w:w="386"/>
        <w:gridCol w:w="386"/>
        <w:gridCol w:w="386"/>
        <w:gridCol w:w="386"/>
        <w:gridCol w:w="386"/>
        <w:gridCol w:w="386"/>
        <w:gridCol w:w="386"/>
        <w:gridCol w:w="380"/>
      </w:tblGrid>
      <w:tr>
        <w:trPr>
          <w:cantSplit/>
          <w:tblHeader/>
        </w:trPr>
        <w:tc>
          <w:tcPr>
            <w:tcW w:type="dxa" w:w="347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INSPECCIÓN</w:t>
            </w:r>
          </w:p>
        </w:tc>
        <w:tc>
          <w:tcPr>
            <w:tcW w:type="dxa" w:w="1542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RESPONSABLE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J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J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</w:t>
            </w:r>
          </w:p>
        </w:tc>
        <w:tc>
          <w:tcPr>
            <w:tcW w:type="dxa" w:w="38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</w:t>
            </w:r>
          </w:p>
        </w:tc>
      </w:tr>
      <w:tr>
        <w:trPr>
          <w:cantSplit/>
          <w:tblHeader w:val="false"/>
        </w:trPr>
        <w:tc>
          <w:tcPr>
            <w:tcW w:type="dxa" w:w="347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Herramientas y equipos (cinta del mes)</w:t>
            </w:r>
          </w:p>
        </w:tc>
        <w:tc>
          <w:tcPr>
            <w:tcW w:type="dxa" w:w="1542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Supervisor de SST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</w:tr>
      <w:tr>
        <w:trPr>
          <w:cantSplit/>
          <w:tblHeader w:val="false"/>
        </w:trPr>
        <w:tc>
          <w:tcPr>
            <w:tcW w:type="dxa" w:w="347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EPP del personal</w:t>
            </w:r>
          </w:p>
        </w:tc>
        <w:tc>
          <w:tcPr>
            <w:tcW w:type="dxa" w:w="1542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Responsable de obra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</w:tr>
      <w:tr>
        <w:trPr>
          <w:cantSplit/>
          <w:tblHeader w:val="false"/>
        </w:trPr>
        <w:tc>
          <w:tcPr>
            <w:tcW w:type="dxa" w:w="347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Botiquín y extintor</w:t>
            </w:r>
          </w:p>
        </w:tc>
        <w:tc>
          <w:tcPr>
            <w:tcW w:type="dxa" w:w="1542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Supervisor de SST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</w:tr>
      <w:tr>
        <w:trPr>
          <w:cantSplit/>
          <w:tblHeader w:val="false"/>
        </w:trPr>
        <w:tc>
          <w:tcPr>
            <w:tcW w:type="dxa" w:w="347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Escaleras, andamios y sistemas anticaídas</w:t>
            </w:r>
          </w:p>
        </w:tc>
        <w:tc>
          <w:tcPr>
            <w:tcW w:type="dxa" w:w="1542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Supervisor de SST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</w:tr>
      <w:tr>
        <w:trPr>
          <w:cantSplit/>
          <w:tblHeader w:val="false"/>
        </w:trPr>
        <w:tc>
          <w:tcPr>
            <w:tcW w:type="dxa" w:w="347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Orden y limpieza del área de trabajo</w:t>
            </w:r>
          </w:p>
        </w:tc>
        <w:tc>
          <w:tcPr>
            <w:tcW w:type="dxa" w:w="1542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Responsable de obra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</w:tr>
      <w:tr>
        <w:trPr>
          <w:cantSplit/>
          <w:tblHeader w:val="false"/>
        </w:trPr>
        <w:tc>
          <w:tcPr>
            <w:tcW w:type="dxa" w:w="347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Termofusoras, cables y extensiones</w:t>
            </w:r>
          </w:p>
        </w:tc>
        <w:tc>
          <w:tcPr>
            <w:tcW w:type="dxa" w:w="1542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Supervisor de SST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</w:tr>
      <w:tr>
        <w:trPr>
          <w:cantSplit/>
          <w:tblHeader w:val="false"/>
        </w:trPr>
        <w:tc>
          <w:tcPr>
            <w:tcW w:type="dxa" w:w="347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Zanjas y excavaciones</w:t>
            </w:r>
          </w:p>
        </w:tc>
        <w:tc>
          <w:tcPr>
            <w:tcW w:type="dxa" w:w="1542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Responsable de obra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</w:tr>
    </w:tbl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0D5C46"/>
          <w:sz w:val="20"/>
          <w:szCs w:val="20"/>
        </w:rPr>
        <w:t xml:space="preserve">5.11. Investigación de incidentes, accidentes y enfermedades ocupacionales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Todo incidente o accidente se investiga para determinar sus causas inmediatas y básicas y establecer medidas que eviten su repetición. Los accidentes mortales e incidentes peligrosos se notifican al Ministerio de Trabajo dentro de las 24 horas. Los índices de frecuencia, severidad y accidentabilidad se reportan mensualmente a la Gerencia.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0D5C46"/>
          <w:sz w:val="20"/>
          <w:szCs w:val="20"/>
        </w:rPr>
        <w:t xml:space="preserve">5.12. Auditorías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Gerencia General revisará al menos una vez al año el cumplimiento del presente plan, identificando problemas potenciales, fallas en equipos, prácticas inadecuadas y la eficacia de las acciones correctivas.</w:t>
      </w:r>
    </w:p>
    <w:p>
      <w:pPr>
        <w:keepNext/>
        <w:pBdr>
          <w:bottom w:val="single" w:color="0D5C46" w:sz="8" w:space="2"/>
        </w:pBdr>
        <w:spacing w:after="100" w:before="240"/>
      </w:pPr>
      <w:r>
        <w:rPr>
          <w:rFonts w:ascii="Arial" w:cs="Arial" w:eastAsia="Arial" w:hAnsi="Arial"/>
          <w:b/>
          <w:bCs/>
          <w:color w:val="0D5C46"/>
          <w:sz w:val="22"/>
          <w:szCs w:val="22"/>
        </w:rPr>
        <w:t xml:space="preserve">6. MEJORA CONTINUA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gestión de la seguridad sigue el ciclo Planificar – Hacer – Verificar – Actuar (PHVA), revisando periódicamente objetivos, controles y resultados.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0D5C46"/>
          <w:sz w:val="20"/>
          <w:szCs w:val="20"/>
        </w:rPr>
        <w:t xml:space="preserve">6.1. Plan de respuesta ante emergencias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empresa cuenta con un Plan de Contingencia ante Emergencias para la especialidad de gasfitería (código CBO-GAS-PC-01), que establece los procedimientos y acciones ante cada tipo de emergencia.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0D5C46"/>
          <w:sz w:val="20"/>
          <w:szCs w:val="20"/>
        </w:rPr>
        <w:t xml:space="preserve">6.2. Estadísticas de SST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84"/>
        <w:gridCol w:w="6554"/>
      </w:tblGrid>
      <w:tr>
        <w:trPr>
          <w:cantSplit/>
          <w:tblHeader/>
        </w:trPr>
        <w:tc>
          <w:tcPr>
            <w:tcW w:type="dxa" w:w="308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ÍNDICE</w:t>
            </w:r>
          </w:p>
        </w:tc>
        <w:tc>
          <w:tcPr>
            <w:tcW w:type="dxa" w:w="655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FÓRMULA</w:t>
            </w:r>
          </w:p>
        </w:tc>
      </w:tr>
      <w:tr>
        <w:trPr>
          <w:cantSplit/>
          <w:tblHeader w:val="false"/>
        </w:trPr>
        <w:tc>
          <w:tcPr>
            <w:tcW w:type="dxa" w:w="308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Índice de frecuencia (IF)</w:t>
            </w:r>
          </w:p>
        </w:tc>
        <w:tc>
          <w:tcPr>
            <w:tcW w:type="dxa" w:w="655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N.° de accidentes con tiempo perdido × 200 000 / total de horas-hombre trabajadas</w:t>
            </w:r>
          </w:p>
        </w:tc>
      </w:tr>
      <w:tr>
        <w:trPr>
          <w:cantSplit/>
          <w:tblHeader w:val="false"/>
        </w:trPr>
        <w:tc>
          <w:tcPr>
            <w:tcW w:type="dxa" w:w="308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Índice de severidad (IS)</w:t>
            </w:r>
          </w:p>
        </w:tc>
        <w:tc>
          <w:tcPr>
            <w:tcW w:type="dxa" w:w="655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Total de días perdidos × 200 000 / total de horas-hombre trabajadas</w:t>
            </w:r>
          </w:p>
        </w:tc>
      </w:tr>
      <w:tr>
        <w:trPr>
          <w:cantSplit/>
          <w:tblHeader w:val="false"/>
        </w:trPr>
        <w:tc>
          <w:tcPr>
            <w:tcW w:type="dxa" w:w="308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Índice de accidentabilidad (IA)</w:t>
            </w:r>
          </w:p>
        </w:tc>
        <w:tc>
          <w:tcPr>
            <w:tcW w:type="dxa" w:w="655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IF × IS / 200</w:t>
            </w:r>
          </w:p>
        </w:tc>
      </w:tr>
    </w:tbl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0D5C46"/>
          <w:sz w:val="20"/>
          <w:szCs w:val="20"/>
        </w:rPr>
        <w:t xml:space="preserve">6.3. Mantenimiento de registros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Los registros del sistema de gestión de SST se conservan según la normativa: los de accidentes e incidentes por 10 años, los de exámenes médicos por 20 años y los demás por 5 años.</w:t>
      </w:r>
    </w:p>
    <w:p>
      <w:pPr>
        <w:keepNext/>
        <w:pBdr>
          <w:bottom w:val="single" w:color="0D5C46" w:sz="8" w:space="2"/>
        </w:pBdr>
        <w:spacing w:after="100" w:before="240"/>
      </w:pPr>
      <w:r>
        <w:rPr>
          <w:rFonts w:ascii="Arial" w:cs="Arial" w:eastAsia="Arial" w:hAnsi="Arial"/>
          <w:b/>
          <w:bCs/>
          <w:color w:val="0D5C46"/>
          <w:sz w:val="22"/>
          <w:szCs w:val="22"/>
        </w:rPr>
        <w:t xml:space="preserve">7. REVISIÓN DEL SISTEMA POR EL EMPLEADOR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Gerencia General revisará el presente plan una vez al año o cuando ocurran cambios en las actividades, la legislación o tras un accidente, y emitirá un informe anual de cierre.</w:t>
      </w:r>
    </w:p>
    <w:p>
      <w:pPr>
        <w:keepNext/>
        <w:pBdr>
          <w:bottom w:val="single" w:color="0D5C46" w:sz="8" w:space="2"/>
        </w:pBdr>
        <w:spacing w:after="100" w:before="240"/>
      </w:pPr>
      <w:r>
        <w:rPr>
          <w:rFonts w:ascii="Arial" w:cs="Arial" w:eastAsia="Arial" w:hAnsi="Arial"/>
          <w:b/>
          <w:bCs/>
          <w:color w:val="0D5C46"/>
          <w:sz w:val="22"/>
          <w:szCs w:val="22"/>
        </w:rPr>
        <w:t xml:space="preserve">8. ANEXOS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Registro de charla de 5 minutos (CBO-SST-REG-02)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Análisis de Trabajo Seguro – ATS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Permiso Escrito de Trabajo de Alto Riesgo – PETAR (CBO-SST-PETAR-01)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Check-list de herramientas y equipos (CBO-SST-REG-03)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Registro de entrega de EPP (CBO-SST-REG-01)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PETS de gasfitería (CBO-GAS-PETS-01)</w:t>
      </w:r>
    </w:p>
    <w:sectPr>
      <w:headerReference w:type="default" r:id="rId7"/>
      <w:footerReference w:type="default" r:id="rId8"/>
      <w:pgSz w:w="11906" w:h="16838" w:orient="portrait"/>
      <w:pgMar w:top="2150" w:right="1134" w:bottom="1100" w:left="1134" w:header="45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76"/>
      <w:jc w:val="center"/>
    </w:pPr>
    <w:r>
      <w:rPr>
        <w:rFonts w:ascii="Arial" w:cs="Arial" w:eastAsia="Arial" w:hAnsi="Arial"/>
        <w:color w:val="555555"/>
        <w:sz w:val="14"/>
        <w:szCs w:val="14"/>
      </w:rPr>
      <w:t xml:space="preserve">Este documento es propiedad de CASA BONITA OREGÓN S.A.C.. Prohibida su reproducción total o parcial sin autorización de la Gerencia General.</w:t>
    </w:r>
  </w:p>
  <w:p>
    <w:pPr>
      <w:spacing w:after="0" w:before="0" w:line="276"/>
      <w:jc w:val="center"/>
    </w:pPr>
    <w:r>
      <w:rPr>
        <w:rFonts w:ascii="Arial" w:cs="Arial" w:eastAsia="Arial" w:hAnsi="Arial"/>
        <w:color w:val="555555"/>
        <w:sz w:val="14"/>
        <w:szCs w:val="14"/>
      </w:rPr>
      <w:t xml:space="preserve">Las versiones impresas son copias “No controladas”.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1638"/>
      <w:gridCol w:w="5108"/>
      <w:gridCol w:w="2892"/>
    </w:tblGrid>
    <w:tr>
      <w:trPr>
        <w:cantSplit/>
        <w:tblHeader/>
      </w:trPr>
      <w:tc>
        <w:tcPr>
          <w:tcW w:type="dxa" w:w="1638"/>
          <w:vMerge w:val="restart"/>
          <w:tcBorders>
            <w:top w:val="single" w:color="8FA89C" w:sz="4"/>
            <w:left w:val="single" w:color="8FA89C" w:sz="4"/>
            <w:bottom w:val="single" w:color="8FA89C" w:sz="4"/>
            <w:right w:val="single" w:color="8FA89C" w:sz="4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jc w:val="center"/>
          </w:pPr>
          <w:r>
            <w:drawing>
              <wp:inline distT="0" distB="0" distL="0" distR="0">
                <wp:extent cx="571500" cy="4572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1500" cy="457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108"/>
          <w:tcBorders>
            <w:top w:val="single" w:color="8FA89C" w:sz="4"/>
            <w:left w:val="single" w:color="8FA89C" w:sz="4"/>
            <w:bottom w:val="single" w:color="8FA89C" w:sz="4"/>
            <w:right w:val="single" w:color="8FA89C" w:sz="4"/>
          </w:tcBorders>
          <w:shd w:fill="0D5C46" w:color="auto" w:val="clear"/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spacing w:after="0" w:before="0" w:line="276"/>
            <w:jc w:val="center"/>
          </w:pPr>
          <w:r>
            <w:rPr>
              <w:rFonts w:ascii="Arial" w:cs="Arial" w:eastAsia="Arial" w:hAnsi="Arial"/>
              <w:b/>
              <w:bCs/>
              <w:color w:val="FFFFFF"/>
              <w:sz w:val="18"/>
              <w:szCs w:val="18"/>
            </w:rPr>
            <w:t xml:space="preserve">PLAN DE SEGURIDAD Y SALUD EN EL TRABAJO – GASFITERÍA</w:t>
          </w:r>
        </w:p>
      </w:tc>
      <w:tc>
        <w:tcPr>
          <w:tcW w:type="dxa" w:w="2892"/>
          <w:tcBorders>
            <w:top w:val="single" w:color="8FA89C" w:sz="4"/>
            <w:left w:val="single" w:color="8FA89C" w:sz="4"/>
            <w:bottom w:val="single" w:color="8FA89C" w:sz="4"/>
            <w:right w:val="single" w:color="8FA89C" w:sz="4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spacing w:after="0" w:before="0" w:line="276"/>
            <w:jc w:val="left"/>
          </w:pPr>
          <w:r>
            <w:rPr>
              <w:rFonts w:ascii="Arial" w:cs="Arial" w:eastAsia="Arial" w:hAnsi="Arial"/>
              <w:sz w:val="14"/>
              <w:szCs w:val="14"/>
            </w:rPr>
            <w:t xml:space="preserve">Código: CBO-GAS-PSST-01</w:t>
          </w:r>
        </w:p>
        <w:p>
          <w:pPr>
            <w:spacing w:after="0" w:before="0" w:line="276"/>
            <w:jc w:val="left"/>
          </w:pPr>
          <w:r>
            <w:rPr>
              <w:rFonts w:ascii="Arial" w:cs="Arial" w:eastAsia="Arial" w:hAnsi="Arial"/>
              <w:sz w:val="14"/>
              <w:szCs w:val="14"/>
            </w:rPr>
            <w:t xml:space="preserve">Versión: 01   Revisión: 00</w:t>
          </w:r>
        </w:p>
      </w:tc>
    </w:tr>
    <w:tr>
      <w:trPr>
        <w:cantSplit/>
        <w:tblHeader w:val="false"/>
      </w:trPr>
      <w:tc>
        <w:tcPr>
          <w:vMerge w:val="continue"/>
          <w:tcBorders>
            <w:top w:val="single" w:color="8FA89C" w:sz="4"/>
            <w:left w:val="single" w:color="8FA89C" w:sz="4"/>
            <w:bottom w:val="single" w:color="8FA89C" w:sz="4"/>
            <w:right w:val="single" w:color="8FA89C" w:sz="4"/>
          </w:tcBorders>
        </w:tcPr>
        <w:p/>
      </w:tc>
      <w:tc>
        <w:tcPr>
          <w:tcW w:type="dxa" w:w="5108"/>
          <w:tcBorders>
            <w:top w:val="single" w:color="8FA89C" w:sz="4"/>
            <w:left w:val="single" w:color="8FA89C" w:sz="4"/>
            <w:bottom w:val="single" w:color="8FA89C" w:sz="4"/>
            <w:right w:val="single" w:color="8FA89C" w:sz="4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spacing w:after="0" w:before="0" w:line="276"/>
            <w:jc w:val="center"/>
          </w:pPr>
          <w:r>
            <w:rPr>
              <w:rFonts w:ascii="Arial" w:cs="Arial" w:eastAsia="Arial" w:hAnsi="Arial"/>
              <w:b/>
              <w:bCs/>
              <w:color w:val="0D5C46"/>
              <w:sz w:val="16"/>
              <w:szCs w:val="16"/>
            </w:rPr>
            <w:t xml:space="preserve">CASA BONITA OREGÓN S.A.C.</w:t>
          </w:r>
        </w:p>
        <w:p>
          <w:pPr>
            <w:spacing w:after="0" w:before="0" w:line="276"/>
            <w:jc w:val="center"/>
          </w:pPr>
          <w:r>
            <w:rPr>
              <w:rFonts w:ascii="Arial" w:cs="Arial" w:eastAsia="Arial" w:hAnsi="Arial"/>
              <w:color w:val="555555"/>
              <w:sz w:val="14"/>
              <w:szCs w:val="14"/>
            </w:rPr>
            <w:t xml:space="preserve">RUC 20614484153</w:t>
          </w:r>
        </w:p>
      </w:tc>
      <w:tc>
        <w:tcPr>
          <w:tcW w:type="dxa" w:w="2892"/>
          <w:tcBorders>
            <w:top w:val="single" w:color="8FA89C" w:sz="4"/>
            <w:left w:val="single" w:color="8FA89C" w:sz="4"/>
            <w:bottom w:val="single" w:color="8FA89C" w:sz="4"/>
            <w:right w:val="single" w:color="8FA89C" w:sz="4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spacing w:after="0" w:before="0" w:line="276"/>
            <w:jc w:val="left"/>
          </w:pPr>
          <w:r>
            <w:rPr>
              <w:rFonts w:ascii="Arial" w:cs="Arial" w:eastAsia="Arial" w:hAnsi="Arial"/>
              <w:sz w:val="14"/>
              <w:szCs w:val="14"/>
            </w:rPr>
            <w:t xml:space="preserve">Fecha de creación: 13/01/2026</w:t>
          </w:r>
        </w:p>
        <w:p>
          <w:pPr>
            <w:spacing w:after="0" w:before="0" w:line="276"/>
            <w:jc w:val="left"/>
          </w:pPr>
          <w:r>
            <w:rPr>
              <w:rFonts w:ascii="Arial" w:cs="Arial" w:eastAsia="Arial" w:hAnsi="Arial"/>
              <w:sz w:val="14"/>
              <w:szCs w:val="14"/>
            </w:rPr>
            <w:t xml:space="preserve">Elaborado: GG   Aprobado: GG</w:t>
          </w:r>
        </w:p>
        <w:p>
          <w:r>
            <w:rPr>
              <w:rFonts w:ascii="Arial" w:cs="Arial" w:eastAsia="Arial" w:hAnsi="Arial"/>
              <w:sz w:val="14"/>
              <w:szCs w:val="14"/>
            </w:rPr>
            <w:t xml:space="preserve">Página </w:t>
          </w:r>
          <w:r>
            <w:rPr>
              <w:rFonts w:ascii="Arial" w:cs="Arial" w:eastAsia="Arial" w:hAnsi="Arial"/>
              <w:sz w:val="14"/>
              <w:szCs w:val="14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Arial" w:cs="Arial" w:eastAsia="Arial" w:hAnsi="Arial"/>
              <w:sz w:val="14"/>
              <w:szCs w:val="14"/>
            </w:rPr>
            <w:t xml:space="preserve"> de </w:t>
          </w:r>
          <w:r>
            <w:rPr>
              <w:rFonts w:ascii="Arial" w:cs="Arial" w:eastAsia="Arial" w:hAnsi="Arial"/>
              <w:sz w:val="14"/>
              <w:szCs w:val="14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  <w:p>
    <w:pPr>
      <w:spacing w:after="40" w:before="0" w:line="276"/>
      <w:jc w:val="both"/>
    </w:pPr>
    <w:r>
      <w:rPr>
        <w:rFonts w:ascii="Arial" w:cs="Arial" w:eastAsia="Arial" w:hAnsi="Arial"/>
        <w:sz w:val="20"/>
        <w:szCs w:val="20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500" w:hanging="260"/>
      </w:pPr>
    </w:lvl>
    <w:lvl w:ilvl="1" w15:tentative="1">
      <w:start w:val="1"/>
      <w:numFmt w:val="bullet"/>
      <w:lvlText w:val="–"/>
      <w:lvlJc w:val="left"/>
      <w:pPr>
        <w:ind w:left="95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b522bf0fcff0b98f3ea3b3ceeef6a1c498472a8.png"/><Relationship Id="rId10" Type="http://schemas.openxmlformats.org/officeDocument/2006/relationships/image" Target="media/1e5ef0f4ce8b69fbb13495037c52c53d47806bae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b522bf0fcff0b98f3ea3b3ceeef6a1c498472a8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2026-10-14T22:07:35.715Z</dcterms:created>
  <dcterms:modified xsi:type="dcterms:W3CDTF">2026-10-14T22:07:35.715Z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