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276"/>
        <w:jc w:val="both"/>
      </w:pPr>
      <w:r>
        <w:rPr>
          <w:rFonts w:ascii="Arial" w:cs="Arial" w:eastAsia="Arial" w:hAnsi="Arial"/>
          <w:sz w:val="20"/>
          <w:szCs w:val="20"/>
        </w:rPr>
        <w:t xml:space="preserve"/>
      </w:r>
    </w:p>
    <w:p>
      <w:pPr>
        <w:jc w:val="center"/>
      </w:pPr>
      <w:r>
        <w:drawing>
          <wp:inline distT="0" distB="0" distL="0" distR="0">
            <wp:extent cx="161925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285875"/>
                    </a:xfrm>
                    <a:prstGeom prst="rect">
                      <a:avLst/>
                    </a:prstGeom>
                  </pic:spPr>
                </pic:pic>
              </a:graphicData>
            </a:graphic>
          </wp:inline>
        </w:drawing>
      </w:r>
    </w:p>
    <w:p>
      <w:pPr>
        <w:spacing w:after="40" w:before="200" w:line="276"/>
        <w:jc w:val="center"/>
      </w:pPr>
      <w:r>
        <w:rPr>
          <w:rFonts w:ascii="Arial" w:cs="Arial" w:eastAsia="Arial" w:hAnsi="Arial"/>
          <w:b/>
          <w:bCs/>
          <w:color w:val="0D5C46"/>
          <w:sz w:val="30"/>
          <w:szCs w:val="30"/>
        </w:rPr>
        <w:t xml:space="preserve">CASA BONITA OREGÓN S.A.C.</w:t>
      </w:r>
    </w:p>
    <w:p>
      <w:pPr>
        <w:spacing w:after="600" w:before="0" w:line="276"/>
        <w:jc w:val="center"/>
      </w:pPr>
      <w:r>
        <w:rPr>
          <w:rFonts w:ascii="Arial" w:cs="Arial" w:eastAsia="Arial" w:hAnsi="Arial"/>
          <w:color w:val="555555"/>
          <w:sz w:val="20"/>
          <w:szCs w:val="20"/>
        </w:rPr>
        <w:t xml:space="preserve">RUC 20614484153</w:t>
      </w:r>
    </w:p>
    <w:p>
      <w:pPr>
        <w:spacing w:after="200" w:before="0" w:line="276"/>
        <w:jc w:val="center"/>
      </w:pPr>
      <w:r>
        <w:rPr>
          <w:rFonts w:ascii="Arial" w:cs="Arial" w:eastAsia="Arial" w:hAnsi="Arial"/>
          <w:b/>
          <w:bCs/>
          <w:sz w:val="40"/>
          <w:szCs w:val="40"/>
        </w:rPr>
        <w:t xml:space="preserve">PLAN DE CONTINGENCIA ANTE EMERGENCIAS</w:t>
      </w:r>
    </w:p>
    <w:p>
      <w:pPr>
        <w:spacing w:after="900" w:before="0" w:line="276"/>
        <w:jc w:val="center"/>
      </w:pPr>
      <w:r>
        <w:rPr>
          <w:rFonts w:ascii="Arial" w:cs="Arial" w:eastAsia="Arial" w:hAnsi="Arial"/>
          <w:b/>
          <w:bCs/>
          <w:sz w:val="24"/>
          <w:szCs w:val="24"/>
        </w:rPr>
        <w:t xml:space="preserve">ESPECIALIDAD: ELECTRICIDAD</w:t>
      </w:r>
    </w:p>
    <w:p>
      <w:pPr>
        <w:spacing w:after="100" w:before="0" w:line="276"/>
        <w:jc w:val="center"/>
      </w:pPr>
      <w:r>
        <w:rPr>
          <w:rFonts w:ascii="Arial" w:cs="Arial" w:eastAsia="Arial" w:hAnsi="Arial"/>
          <w:b/>
          <w:bCs/>
          <w:color w:val="0D5C46"/>
          <w:sz w:val="20"/>
          <w:szCs w:val="20"/>
        </w:rPr>
        <w:t xml:space="preserve">CONTROL DE REVISIÓN Y APROBACIÓN DEL DOCUMENTO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3"/>
        <w:gridCol w:w="3213"/>
        <w:gridCol w:w="3212"/>
      </w:tblGrid>
      <w:tr>
        <w:trPr>
          <w:cantSplit/>
          <w:tblHeader/>
        </w:trPr>
        <w:tc>
          <w:tcPr>
            <w:tcW w:type="dxa" w:w="321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ELABORADO POR:</w:t>
            </w:r>
          </w:p>
        </w:tc>
        <w:tc>
          <w:tcPr>
            <w:tcW w:type="dxa" w:w="321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REVISADO POR:</w:t>
            </w:r>
          </w:p>
        </w:tc>
        <w:tc>
          <w:tcPr>
            <w:tcW w:type="dxa" w:w="321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APROBADO POR:</w:t>
            </w:r>
          </w:p>
        </w:tc>
      </w:tr>
      <w:tr>
        <w:trPr>
          <w:cantSplit/>
          <w:tblHeader w:val="false"/>
        </w:trPr>
        <w:tc>
          <w:tcPr>
            <w:tcW w:type="dxa" w:w="3213"/>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0"/>
              <w:jc w:val="center"/>
            </w:pPr>
            <w:r>
              <w:drawing>
                <wp:inline distT="0" distB="0" distL="0" distR="0">
                  <wp:extent cx="10477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76275"/>
                          </a:xfrm>
                          <a:prstGeom prst="rect">
                            <a:avLst/>
                          </a:prstGeom>
                        </pic:spPr>
                      </pic:pic>
                    </a:graphicData>
                  </a:graphic>
                </wp:inline>
              </w:drawing>
            </w:r>
          </w:p>
          <w:p>
            <w:pPr>
              <w:spacing w:after="0" w:before="0" w:line="276"/>
              <w:jc w:val="center"/>
            </w:pPr>
            <w:r>
              <w:rPr>
                <w:rFonts w:ascii="Arial" w:cs="Arial" w:eastAsia="Arial" w:hAnsi="Arial"/>
                <w:b/>
                <w:bCs/>
                <w:sz w:val="16"/>
                <w:szCs w:val="16"/>
              </w:rPr>
              <w:t xml:space="preserve">Jesús Donato Villar Bendezú</w:t>
            </w:r>
          </w:p>
          <w:p>
            <w:pPr>
              <w:spacing w:after="0" w:before="0" w:line="276"/>
              <w:jc w:val="center"/>
            </w:pPr>
            <w:r>
              <w:rPr>
                <w:rFonts w:ascii="Arial" w:cs="Arial" w:eastAsia="Arial" w:hAnsi="Arial"/>
                <w:sz w:val="15"/>
                <w:szCs w:val="15"/>
              </w:rPr>
              <w:t xml:space="preserve">DNI 72906209</w:t>
            </w:r>
          </w:p>
          <w:p>
            <w:pPr>
              <w:spacing w:after="0" w:before="0" w:line="276"/>
              <w:jc w:val="center"/>
            </w:pPr>
            <w:r>
              <w:rPr>
                <w:rFonts w:ascii="Arial" w:cs="Arial" w:eastAsia="Arial" w:hAnsi="Arial"/>
                <w:sz w:val="15"/>
                <w:szCs w:val="15"/>
              </w:rPr>
              <w:t xml:space="preserve">GERENTE GENERAL</w:t>
            </w:r>
          </w:p>
        </w:tc>
        <w:tc>
          <w:tcPr>
            <w:tcW w:type="dxa" w:w="3213"/>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900" w:before="0" w:line="276"/>
              <w:jc w:val="both"/>
            </w:pPr>
            <w:r>
              <w:rPr>
                <w:rFonts w:ascii="Arial" w:cs="Arial" w:eastAsia="Arial" w:hAnsi="Arial"/>
                <w:sz w:val="20"/>
                <w:szCs w:val="20"/>
              </w:rPr>
              <w:t xml:space="preserve"/>
            </w:r>
          </w:p>
          <w:p>
            <w:pPr>
              <w:spacing w:after="0" w:before="0" w:line="276"/>
              <w:jc w:val="center"/>
            </w:pPr>
            <w:r>
              <w:rPr>
                <w:rFonts w:ascii="Arial" w:cs="Arial" w:eastAsia="Arial" w:hAnsi="Arial"/>
                <w:sz w:val="15"/>
                <w:szCs w:val="15"/>
              </w:rPr>
              <w:t xml:space="preserve">Nombre: ______________________</w:t>
            </w:r>
          </w:p>
          <w:p>
            <w:pPr>
              <w:spacing w:after="0" w:before="0" w:line="276"/>
              <w:jc w:val="center"/>
            </w:pPr>
            <w:r>
              <w:rPr>
                <w:rFonts w:ascii="Arial" w:cs="Arial" w:eastAsia="Arial" w:hAnsi="Arial"/>
                <w:sz w:val="15"/>
                <w:szCs w:val="15"/>
              </w:rPr>
              <w:t xml:space="preserve">RESPONSABLE DE OBRA / SST</w:t>
            </w:r>
          </w:p>
        </w:tc>
        <w:tc>
          <w:tcPr>
            <w:tcW w:type="dxa" w:w="3212"/>
            <w:tcBorders>
              <w:top w:val="single" w:color="8FA89C" w:sz="4"/>
              <w:left w:val="single" w:color="8FA89C" w:sz="4"/>
              <w:bottom w:val="single" w:color="8FA89C" w:sz="4"/>
              <w:right w:val="single" w:color="8FA89C" w:sz="4"/>
            </w:tcBorders>
            <w:tcMar>
              <w:top w:type="dxa" w:w="40"/>
              <w:left w:type="dxa" w:w="80"/>
              <w:bottom w:type="dxa" w:w="40"/>
              <w:right w:type="dxa" w:w="80"/>
            </w:tcMar>
            <w:vAlign w:val="bottom"/>
          </w:tcPr>
          <w:p>
            <w:pPr>
              <w:spacing w:after="0"/>
              <w:jc w:val="center"/>
            </w:pPr>
            <w:r>
              <w:drawing>
                <wp:inline distT="0" distB="0" distL="0" distR="0">
                  <wp:extent cx="10477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676275"/>
                          </a:xfrm>
                          <a:prstGeom prst="rect">
                            <a:avLst/>
                          </a:prstGeom>
                        </pic:spPr>
                      </pic:pic>
                    </a:graphicData>
                  </a:graphic>
                </wp:inline>
              </w:drawing>
            </w:r>
          </w:p>
          <w:p>
            <w:pPr>
              <w:spacing w:after="0" w:before="0" w:line="276"/>
              <w:jc w:val="center"/>
            </w:pPr>
            <w:r>
              <w:rPr>
                <w:rFonts w:ascii="Arial" w:cs="Arial" w:eastAsia="Arial" w:hAnsi="Arial"/>
                <w:b/>
                <w:bCs/>
                <w:sz w:val="16"/>
                <w:szCs w:val="16"/>
              </w:rPr>
              <w:t xml:space="preserve">Jesús Donato Villar Bendezú</w:t>
            </w:r>
          </w:p>
          <w:p>
            <w:pPr>
              <w:spacing w:after="0" w:before="0" w:line="276"/>
              <w:jc w:val="center"/>
            </w:pPr>
            <w:r>
              <w:rPr>
                <w:rFonts w:ascii="Arial" w:cs="Arial" w:eastAsia="Arial" w:hAnsi="Arial"/>
                <w:sz w:val="15"/>
                <w:szCs w:val="15"/>
              </w:rPr>
              <w:t xml:space="preserve">DNI 72906209</w:t>
            </w:r>
          </w:p>
          <w:p>
            <w:pPr>
              <w:spacing w:after="0" w:before="0" w:line="276"/>
              <w:jc w:val="center"/>
            </w:pPr>
            <w:r>
              <w:rPr>
                <w:rFonts w:ascii="Arial" w:cs="Arial" w:eastAsia="Arial" w:hAnsi="Arial"/>
                <w:sz w:val="15"/>
                <w:szCs w:val="15"/>
              </w:rPr>
              <w:t xml:space="preserve">GERENTE GENERAL</w:t>
            </w:r>
          </w:p>
        </w:tc>
      </w:tr>
    </w:tbl>
    <w:p>
      <w:r>
        <w:br w:type="page"/>
      </w:r>
    </w:p>
    <w:p>
      <w:pPr>
        <w:keepNext/>
        <w:pBdr>
          <w:bottom w:val="single" w:color="0D5C46" w:sz="8" w:space="2"/>
        </w:pBdr>
        <w:spacing w:after="100" w:before="240"/>
      </w:pPr>
      <w:r>
        <w:rPr>
          <w:rFonts w:ascii="Arial" w:cs="Arial" w:eastAsia="Arial" w:hAnsi="Arial"/>
          <w:b/>
          <w:bCs/>
          <w:color w:val="0D5C46"/>
          <w:sz w:val="22"/>
          <w:szCs w:val="22"/>
        </w:rPr>
        <w:t xml:space="preserve">1. OBJETIVOS</w:t>
      </w:r>
    </w:p>
    <w:p>
      <w:pPr>
        <w:spacing w:after="100" w:before="0" w:line="276"/>
        <w:jc w:val="both"/>
      </w:pPr>
      <w:r>
        <w:rPr>
          <w:rFonts w:ascii="Arial" w:cs="Arial" w:eastAsia="Arial" w:hAnsi="Arial"/>
          <w:sz w:val="20"/>
          <w:szCs w:val="20"/>
        </w:rPr>
        <w:t xml:space="preserve">Planificar y describir la capacidad de respuesta rápida de CASA BONITA OREGÓN S.A.C. para el control de las emergencias que puedan presentarse durante los trabajos de electricidad, así como las acciones necesarias para responder eficazmente, minimizando las lesiones a los trabajadores y los daños a la propiedad y al ambiente.</w:t>
      </w:r>
    </w:p>
    <w:p>
      <w:pPr>
        <w:keepNext/>
        <w:pBdr>
          <w:bottom w:val="single" w:color="0D5C46" w:sz="8" w:space="2"/>
        </w:pBdr>
        <w:spacing w:after="100" w:before="240"/>
      </w:pPr>
      <w:r>
        <w:rPr>
          <w:rFonts w:ascii="Arial" w:cs="Arial" w:eastAsia="Arial" w:hAnsi="Arial"/>
          <w:b/>
          <w:bCs/>
          <w:color w:val="0D5C46"/>
          <w:sz w:val="22"/>
          <w:szCs w:val="22"/>
        </w:rPr>
        <w:t xml:space="preserve">2. ALCANCE</w:t>
      </w:r>
    </w:p>
    <w:p>
      <w:pPr>
        <w:spacing w:after="100" w:before="0" w:line="276"/>
        <w:jc w:val="both"/>
      </w:pPr>
      <w:r>
        <w:rPr>
          <w:rFonts w:ascii="Arial" w:cs="Arial" w:eastAsia="Arial" w:hAnsi="Arial"/>
          <w:sz w:val="20"/>
          <w:szCs w:val="20"/>
        </w:rPr>
        <w:t xml:space="preserve">El presente plan aplica a todos los trabajadores de CASA BONITA OREGÓN S.A.C. que ejecutan actividades de electricidad en las obras donde la empresa participa como contratista o subcontratista, y se articula con el plan de respuesta ante emergencias del contratista principal de cada obra.</w:t>
      </w:r>
    </w:p>
    <w:p>
      <w:pPr>
        <w:keepNext/>
        <w:pBdr>
          <w:bottom w:val="single" w:color="0D5C46" w:sz="8" w:space="2"/>
        </w:pBdr>
        <w:spacing w:after="100" w:before="240"/>
      </w:pPr>
      <w:r>
        <w:rPr>
          <w:rFonts w:ascii="Arial" w:cs="Arial" w:eastAsia="Arial" w:hAnsi="Arial"/>
          <w:b/>
          <w:bCs/>
          <w:color w:val="0D5C46"/>
          <w:sz w:val="22"/>
          <w:szCs w:val="22"/>
        </w:rPr>
        <w:t xml:space="preserve">3. MARCO LEGAL</w:t>
      </w:r>
    </w:p>
    <w:p>
      <w:pPr>
        <w:pStyle w:val="ListParagraph"/>
        <w:numPr>
          <w:ilvl w:val="0"/>
          <w:numId w:val="2"/>
        </w:numPr>
        <w:spacing w:after="50" w:before="0" w:line="276"/>
        <w:jc w:val="both"/>
      </w:pPr>
      <w:r>
        <w:rPr>
          <w:rFonts w:ascii="Arial" w:cs="Arial" w:eastAsia="Arial" w:hAnsi="Arial"/>
          <w:sz w:val="20"/>
          <w:szCs w:val="20"/>
        </w:rPr>
        <w:t xml:space="preserve">Ley N.° 28551, Ley que establece la obligación de elaborar y presentar planes de contingencia.</w:t>
      </w:r>
    </w:p>
    <w:p>
      <w:pPr>
        <w:pStyle w:val="ListParagraph"/>
        <w:numPr>
          <w:ilvl w:val="0"/>
          <w:numId w:val="2"/>
        </w:numPr>
        <w:spacing w:after="50" w:before="0" w:line="276"/>
        <w:jc w:val="both"/>
      </w:pPr>
      <w:r>
        <w:rPr>
          <w:rFonts w:ascii="Arial" w:cs="Arial" w:eastAsia="Arial" w:hAnsi="Arial"/>
          <w:sz w:val="20"/>
          <w:szCs w:val="20"/>
        </w:rPr>
        <w:t xml:space="preserve">Ley N.° 29783, Ley de Seguridad y Salud en el Trabajo, y sus modificatorias (Ley 30222 y Ley 31246).</w:t>
      </w:r>
    </w:p>
    <w:p>
      <w:pPr>
        <w:pStyle w:val="ListParagraph"/>
        <w:numPr>
          <w:ilvl w:val="0"/>
          <w:numId w:val="2"/>
        </w:numPr>
        <w:spacing w:after="50" w:before="0" w:line="276"/>
        <w:jc w:val="both"/>
      </w:pPr>
      <w:r>
        <w:rPr>
          <w:rFonts w:ascii="Arial" w:cs="Arial" w:eastAsia="Arial" w:hAnsi="Arial"/>
          <w:sz w:val="20"/>
          <w:szCs w:val="20"/>
        </w:rPr>
        <w:t xml:space="preserve">D.S. 005-2012-TR, Reglamento de la Ley de Seguridad y Salud en el Trabajo, y sus modificatorias.</w:t>
      </w:r>
    </w:p>
    <w:p>
      <w:pPr>
        <w:pStyle w:val="ListParagraph"/>
        <w:numPr>
          <w:ilvl w:val="0"/>
          <w:numId w:val="2"/>
        </w:numPr>
        <w:spacing w:after="50" w:before="0" w:line="276"/>
        <w:jc w:val="both"/>
      </w:pPr>
      <w:r>
        <w:rPr>
          <w:rFonts w:ascii="Arial" w:cs="Arial" w:eastAsia="Arial" w:hAnsi="Arial"/>
          <w:sz w:val="20"/>
          <w:szCs w:val="20"/>
        </w:rPr>
        <w:t xml:space="preserve">D.S. 011-2019-TR, Reglamento de Seguridad y Salud en el Trabajo para el Sector Construcción.</w:t>
      </w:r>
    </w:p>
    <w:p>
      <w:pPr>
        <w:pStyle w:val="ListParagraph"/>
        <w:numPr>
          <w:ilvl w:val="0"/>
          <w:numId w:val="2"/>
        </w:numPr>
        <w:spacing w:after="50" w:before="0" w:line="276"/>
        <w:jc w:val="both"/>
      </w:pPr>
      <w:r>
        <w:rPr>
          <w:rFonts w:ascii="Arial" w:cs="Arial" w:eastAsia="Arial" w:hAnsi="Arial"/>
          <w:sz w:val="20"/>
          <w:szCs w:val="20"/>
        </w:rPr>
        <w:t xml:space="preserve">Norma Técnica de Edificación G.050 – Seguridad durante la Construcción.</w:t>
      </w:r>
    </w:p>
    <w:p>
      <w:pPr>
        <w:pStyle w:val="ListParagraph"/>
        <w:numPr>
          <w:ilvl w:val="0"/>
          <w:numId w:val="2"/>
        </w:numPr>
        <w:spacing w:after="50" w:before="0" w:line="276"/>
        <w:jc w:val="both"/>
      </w:pPr>
      <w:r>
        <w:rPr>
          <w:rFonts w:ascii="Arial" w:cs="Arial" w:eastAsia="Arial" w:hAnsi="Arial"/>
          <w:sz w:val="20"/>
          <w:szCs w:val="20"/>
        </w:rPr>
        <w:t xml:space="preserve">Ley N.° 26790, Ley de Modernización de la Seguridad Social en Salud (SCTR).</w:t>
      </w:r>
    </w:p>
    <w:p>
      <w:pPr>
        <w:pStyle w:val="ListParagraph"/>
        <w:numPr>
          <w:ilvl w:val="0"/>
          <w:numId w:val="2"/>
        </w:numPr>
        <w:spacing w:after="50" w:before="0" w:line="276"/>
        <w:jc w:val="both"/>
      </w:pPr>
      <w:r>
        <w:rPr>
          <w:rFonts w:ascii="Arial" w:cs="Arial" w:eastAsia="Arial" w:hAnsi="Arial"/>
          <w:sz w:val="20"/>
          <w:szCs w:val="20"/>
        </w:rPr>
        <w:t xml:space="preserve">R.M. N.° 111-2013-MEM/DM, Reglamento de Seguridad y Salud en el Trabajo con Electricidad.</w:t>
      </w:r>
    </w:p>
    <w:p>
      <w:pPr>
        <w:pStyle w:val="ListParagraph"/>
        <w:numPr>
          <w:ilvl w:val="0"/>
          <w:numId w:val="2"/>
        </w:numPr>
        <w:spacing w:after="50" w:before="0" w:line="276"/>
        <w:jc w:val="both"/>
      </w:pPr>
      <w:r>
        <w:rPr>
          <w:rFonts w:ascii="Arial" w:cs="Arial" w:eastAsia="Arial" w:hAnsi="Arial"/>
          <w:sz w:val="20"/>
          <w:szCs w:val="20"/>
        </w:rPr>
        <w:t xml:space="preserve">Código Nacional de Electricidad – Utilización.</w:t>
      </w:r>
    </w:p>
    <w:p>
      <w:pPr>
        <w:keepNext/>
        <w:pBdr>
          <w:bottom w:val="single" w:color="0D5C46" w:sz="8" w:space="2"/>
        </w:pBdr>
        <w:spacing w:after="100" w:before="240"/>
      </w:pPr>
      <w:r>
        <w:rPr>
          <w:rFonts w:ascii="Arial" w:cs="Arial" w:eastAsia="Arial" w:hAnsi="Arial"/>
          <w:b/>
          <w:bCs/>
          <w:color w:val="0D5C46"/>
          <w:sz w:val="22"/>
          <w:szCs w:val="22"/>
        </w:rPr>
        <w:t xml:space="preserve">4. DEFINICIONES</w:t>
      </w:r>
    </w:p>
    <w:p>
      <w:pPr>
        <w:pStyle w:val="ListParagraph"/>
        <w:numPr>
          <w:ilvl w:val="0"/>
          <w:numId w:val="2"/>
        </w:numPr>
        <w:spacing w:after="50" w:before="0" w:line="276"/>
        <w:jc w:val="both"/>
      </w:pPr>
      <w:r>
        <w:rPr>
          <w:rFonts w:ascii="Arial" w:cs="Arial" w:eastAsia="Arial" w:hAnsi="Arial"/>
          <w:b/>
          <w:bCs/>
          <w:sz w:val="20"/>
          <w:szCs w:val="20"/>
        </w:rPr>
        <w:t xml:space="preserve">Emergencia:</w:t>
      </w:r>
      <w:r>
        <w:rPr>
          <w:rFonts w:ascii="Arial" w:cs="Arial" w:eastAsia="Arial" w:hAnsi="Arial"/>
          <w:sz w:val="20"/>
          <w:szCs w:val="20"/>
        </w:rPr>
        <w:t xml:space="preserve"> evento no deseado que pone en riesgo la vida, la salud, la propiedad o el ambiente y requiere una respuesta inmediata.</w:t>
      </w:r>
    </w:p>
    <w:p>
      <w:pPr>
        <w:pStyle w:val="ListParagraph"/>
        <w:numPr>
          <w:ilvl w:val="0"/>
          <w:numId w:val="2"/>
        </w:numPr>
        <w:spacing w:after="50" w:before="0" w:line="276"/>
        <w:jc w:val="both"/>
      </w:pPr>
      <w:r>
        <w:rPr>
          <w:rFonts w:ascii="Arial" w:cs="Arial" w:eastAsia="Arial" w:hAnsi="Arial"/>
          <w:b/>
          <w:bCs/>
          <w:sz w:val="20"/>
          <w:szCs w:val="20"/>
        </w:rPr>
        <w:t xml:space="preserve">Contingencia:</w:t>
      </w:r>
      <w:r>
        <w:rPr>
          <w:rFonts w:ascii="Arial" w:cs="Arial" w:eastAsia="Arial" w:hAnsi="Arial"/>
          <w:sz w:val="20"/>
          <w:szCs w:val="20"/>
        </w:rPr>
        <w:t xml:space="preserve"> situación de riesgo que puede ocurrir durante las actividades y para la cual se prevén acciones de respuesta.</w:t>
      </w:r>
    </w:p>
    <w:p>
      <w:pPr>
        <w:pStyle w:val="ListParagraph"/>
        <w:numPr>
          <w:ilvl w:val="0"/>
          <w:numId w:val="2"/>
        </w:numPr>
        <w:spacing w:after="50" w:before="0" w:line="276"/>
        <w:jc w:val="both"/>
      </w:pPr>
      <w:r>
        <w:rPr>
          <w:rFonts w:ascii="Arial" w:cs="Arial" w:eastAsia="Arial" w:hAnsi="Arial"/>
          <w:b/>
          <w:bCs/>
          <w:sz w:val="20"/>
          <w:szCs w:val="20"/>
        </w:rPr>
        <w:t xml:space="preserve">Brigada:</w:t>
      </w:r>
      <w:r>
        <w:rPr>
          <w:rFonts w:ascii="Arial" w:cs="Arial" w:eastAsia="Arial" w:hAnsi="Arial"/>
          <w:sz w:val="20"/>
          <w:szCs w:val="20"/>
        </w:rPr>
        <w:t xml:space="preserve"> grupo de trabajadores capacitados para actuar en primeros auxilios, evacuación o lucha contra incendios.</w:t>
      </w:r>
    </w:p>
    <w:p>
      <w:pPr>
        <w:pStyle w:val="ListParagraph"/>
        <w:numPr>
          <w:ilvl w:val="0"/>
          <w:numId w:val="2"/>
        </w:numPr>
        <w:spacing w:after="50" w:before="0" w:line="276"/>
        <w:jc w:val="both"/>
      </w:pPr>
      <w:r>
        <w:rPr>
          <w:rFonts w:ascii="Arial" w:cs="Arial" w:eastAsia="Arial" w:hAnsi="Arial"/>
          <w:b/>
          <w:bCs/>
          <w:sz w:val="20"/>
          <w:szCs w:val="20"/>
        </w:rPr>
        <w:t xml:space="preserve">Punto de reunión:</w:t>
      </w:r>
      <w:r>
        <w:rPr>
          <w:rFonts w:ascii="Arial" w:cs="Arial" w:eastAsia="Arial" w:hAnsi="Arial"/>
          <w:sz w:val="20"/>
          <w:szCs w:val="20"/>
        </w:rPr>
        <w:t xml:space="preserve"> zona segura señalizada donde se concentra el personal después de una evacuación.</w:t>
      </w:r>
    </w:p>
    <w:p>
      <w:pPr>
        <w:pStyle w:val="ListParagraph"/>
        <w:numPr>
          <w:ilvl w:val="0"/>
          <w:numId w:val="2"/>
        </w:numPr>
        <w:spacing w:after="50" w:before="0" w:line="276"/>
        <w:jc w:val="both"/>
      </w:pPr>
      <w:r>
        <w:rPr>
          <w:rFonts w:ascii="Arial" w:cs="Arial" w:eastAsia="Arial" w:hAnsi="Arial"/>
          <w:b/>
          <w:bCs/>
          <w:sz w:val="20"/>
          <w:szCs w:val="20"/>
        </w:rPr>
        <w:t xml:space="preserve">SCTR:</w:t>
      </w:r>
      <w:r>
        <w:rPr>
          <w:rFonts w:ascii="Arial" w:cs="Arial" w:eastAsia="Arial" w:hAnsi="Arial"/>
          <w:sz w:val="20"/>
          <w:szCs w:val="20"/>
        </w:rPr>
        <w:t xml:space="preserve"> Seguro Complementario de Trabajo de Riesgo, que cubre la atención médica y la pensión del trabajador accidentado. La empresa lo tiene contratado con La Positiva Seguros.</w:t>
      </w:r>
    </w:p>
    <w:p>
      <w:pPr>
        <w:pStyle w:val="ListParagraph"/>
        <w:numPr>
          <w:ilvl w:val="0"/>
          <w:numId w:val="2"/>
        </w:numPr>
        <w:spacing w:after="50" w:before="0" w:line="276"/>
        <w:jc w:val="both"/>
      </w:pPr>
      <w:r>
        <w:rPr>
          <w:rFonts w:ascii="Arial" w:cs="Arial" w:eastAsia="Arial" w:hAnsi="Arial"/>
          <w:b/>
          <w:bCs/>
          <w:sz w:val="20"/>
          <w:szCs w:val="20"/>
        </w:rPr>
        <w:t xml:space="preserve">Electrocución:</w:t>
      </w:r>
      <w:r>
        <w:rPr>
          <w:rFonts w:ascii="Arial" w:cs="Arial" w:eastAsia="Arial" w:hAnsi="Arial"/>
          <w:sz w:val="20"/>
          <w:szCs w:val="20"/>
        </w:rPr>
        <w:t xml:space="preserve"> paso de corriente eléctrica a través del cuerpo humano que puede causar quemaduras, paro cardiaco o la muerte.</w:t>
      </w:r>
    </w:p>
    <w:p>
      <w:pPr>
        <w:pStyle w:val="ListParagraph"/>
        <w:numPr>
          <w:ilvl w:val="0"/>
          <w:numId w:val="2"/>
        </w:numPr>
        <w:spacing w:after="50" w:before="0" w:line="276"/>
        <w:jc w:val="both"/>
      </w:pPr>
      <w:r>
        <w:rPr>
          <w:rFonts w:ascii="Arial" w:cs="Arial" w:eastAsia="Arial" w:hAnsi="Arial"/>
          <w:b/>
          <w:bCs/>
          <w:sz w:val="20"/>
          <w:szCs w:val="20"/>
        </w:rPr>
        <w:t xml:space="preserve">Arco eléctrico:</w:t>
      </w:r>
      <w:r>
        <w:rPr>
          <w:rFonts w:ascii="Arial" w:cs="Arial" w:eastAsia="Arial" w:hAnsi="Arial"/>
          <w:sz w:val="20"/>
          <w:szCs w:val="20"/>
        </w:rPr>
        <w:t xml:space="preserve"> descarga de energía a través del aire que produce calor intenso y proyección de partículas.</w:t>
      </w:r>
    </w:p>
    <w:p>
      <w:pPr>
        <w:keepNext/>
        <w:pBdr>
          <w:bottom w:val="single" w:color="0D5C46" w:sz="8" w:space="2"/>
        </w:pBdr>
        <w:spacing w:after="100" w:before="240"/>
      </w:pPr>
      <w:r>
        <w:rPr>
          <w:rFonts w:ascii="Arial" w:cs="Arial" w:eastAsia="Arial" w:hAnsi="Arial"/>
          <w:b/>
          <w:bCs/>
          <w:color w:val="0D5C46"/>
          <w:sz w:val="22"/>
          <w:szCs w:val="22"/>
        </w:rPr>
        <w:t xml:space="preserve">5. DATOS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DATO</w:t>
            </w:r>
          </w:p>
        </w:tc>
        <w:tc>
          <w:tcPr>
            <w:tcW w:type="dxa" w:w="655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DETALLE</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Razón social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CASA BONITA OREGÓN S.A.C.</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RUC</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20614484153</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Gerente General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Jesús Donato Villar Bendezú – DNI 72906209 – Cel. 922 732 329</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Actividad</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Instalaciones eléctricas interiores y exteriores en baja tensión, tableros, puesta a tierra y corrientes débiles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Dirección</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Prolongación Huiracocha Mz. PP9 Lote 11A, San Antonio – Huarochirí, Lima</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Teléfono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924 987 916</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Seguro SCTR</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La Positiva Seguros – SCTR Pensión póliza N.° 30485346 / SCTR Salud contrato N.° 9361507</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Emergencias SCTR (Línea Positiva)</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211-0211</w:t>
            </w:r>
          </w:p>
        </w:tc>
      </w:tr>
    </w:tbl>
    <w:p>
      <w:pPr>
        <w:keepNext/>
        <w:pBdr>
          <w:bottom w:val="single" w:color="0D5C46" w:sz="8" w:space="2"/>
        </w:pBdr>
        <w:spacing w:after="100" w:before="240"/>
      </w:pPr>
      <w:r>
        <w:rPr>
          <w:rFonts w:ascii="Arial" w:cs="Arial" w:eastAsia="Arial" w:hAnsi="Arial"/>
          <w:b/>
          <w:bCs/>
          <w:color w:val="0D5C46"/>
          <w:sz w:val="22"/>
          <w:szCs w:val="22"/>
        </w:rPr>
        <w:t xml:space="preserve">6. ORGANIZACIÓN DE LA RESPUESTA Y RESPONSABILIDADES</w:t>
      </w:r>
    </w:p>
    <w:p>
      <w:pPr>
        <w:spacing w:after="100" w:before="0" w:line="276"/>
        <w:jc w:val="both"/>
      </w:pPr>
      <w:r>
        <w:rPr>
          <w:rFonts w:ascii="Arial" w:cs="Arial" w:eastAsia="Arial" w:hAnsi="Arial"/>
          <w:sz w:val="20"/>
          <w:szCs w:val="20"/>
        </w:rPr>
        <w:t xml:space="preserve">En las obras donde CASA BONITA OREGÓN S.A.C. participa como contratista dentro de instalaciones de terceros, su personal apoyará y seguirá las instrucciones de la brigada de emergencia del contratista principal, respetando sus procedimientos y protocolos. Cuando la cantidad de personal lo permita, se designarán trabajadores capacitados para cada brigada.</w:t>
      </w:r>
    </w:p>
    <w:p>
      <w:pPr>
        <w:keepNext/>
        <w:spacing w:after="80" w:before="160"/>
      </w:pPr>
      <w:r>
        <w:rPr>
          <w:rFonts w:ascii="Arial" w:cs="Arial" w:eastAsia="Arial" w:hAnsi="Arial"/>
          <w:b/>
          <w:bCs/>
          <w:color w:val="0D5C46"/>
          <w:sz w:val="20"/>
          <w:szCs w:val="20"/>
        </w:rPr>
        <w:t xml:space="preserve">6.1. Jefe de emergencia (Gerente General o responsable de obra)</w:t>
      </w:r>
    </w:p>
    <w:p>
      <w:pPr>
        <w:pStyle w:val="ListParagraph"/>
        <w:numPr>
          <w:ilvl w:val="0"/>
          <w:numId w:val="2"/>
        </w:numPr>
        <w:spacing w:after="50" w:before="0" w:line="276"/>
        <w:jc w:val="both"/>
      </w:pPr>
      <w:r>
        <w:rPr>
          <w:rFonts w:ascii="Arial" w:cs="Arial" w:eastAsia="Arial" w:hAnsi="Arial"/>
          <w:sz w:val="20"/>
          <w:szCs w:val="20"/>
        </w:rPr>
        <w:t xml:space="preserve">Coordinar las acciones de respuesta con la brigada del contratista principal y con entidades externas (bomberos, policía, centros de salud).</w:t>
      </w:r>
    </w:p>
    <w:p>
      <w:pPr>
        <w:pStyle w:val="ListParagraph"/>
        <w:numPr>
          <w:ilvl w:val="0"/>
          <w:numId w:val="2"/>
        </w:numPr>
        <w:spacing w:after="50" w:before="0" w:line="276"/>
        <w:jc w:val="both"/>
      </w:pPr>
      <w:r>
        <w:rPr>
          <w:rFonts w:ascii="Arial" w:cs="Arial" w:eastAsia="Arial" w:hAnsi="Arial"/>
          <w:sz w:val="20"/>
          <w:szCs w:val="20"/>
        </w:rPr>
        <w:t xml:space="preserve">Asignar funciones a los brigadistas y asegurar su capacitación.</w:t>
      </w:r>
    </w:p>
    <w:p>
      <w:pPr>
        <w:pStyle w:val="ListParagraph"/>
        <w:numPr>
          <w:ilvl w:val="0"/>
          <w:numId w:val="2"/>
        </w:numPr>
        <w:spacing w:after="50" w:before="0" w:line="276"/>
        <w:jc w:val="both"/>
      </w:pPr>
      <w:r>
        <w:rPr>
          <w:rFonts w:ascii="Arial" w:cs="Arial" w:eastAsia="Arial" w:hAnsi="Arial"/>
          <w:sz w:val="20"/>
          <w:szCs w:val="20"/>
        </w:rPr>
        <w:t xml:space="preserve">Activar el SCTR con La Positiva Seguros (01) 211-0211 y acompañar la atención del trabajador accidentado.</w:t>
      </w:r>
    </w:p>
    <w:p>
      <w:pPr>
        <w:pStyle w:val="ListParagraph"/>
        <w:numPr>
          <w:ilvl w:val="0"/>
          <w:numId w:val="2"/>
        </w:numPr>
        <w:spacing w:after="50" w:before="0" w:line="276"/>
        <w:jc w:val="both"/>
      </w:pPr>
      <w:r>
        <w:rPr>
          <w:rFonts w:ascii="Arial" w:cs="Arial" w:eastAsia="Arial" w:hAnsi="Arial"/>
          <w:sz w:val="20"/>
          <w:szCs w:val="20"/>
        </w:rPr>
        <w:t xml:space="preserve">Mantener actualizado el directorio de emergencias y la lista del personal presente en obra.</w:t>
      </w:r>
    </w:p>
    <w:p>
      <w:pPr>
        <w:pStyle w:val="ListParagraph"/>
        <w:numPr>
          <w:ilvl w:val="0"/>
          <w:numId w:val="2"/>
        </w:numPr>
        <w:spacing w:after="50" w:before="0" w:line="276"/>
        <w:jc w:val="both"/>
      </w:pPr>
      <w:r>
        <w:rPr>
          <w:rFonts w:ascii="Arial" w:cs="Arial" w:eastAsia="Arial" w:hAnsi="Arial"/>
          <w:sz w:val="20"/>
          <w:szCs w:val="20"/>
        </w:rPr>
        <w:t xml:space="preserve">Elaborar un informe de la emergencia, los recursos usados y las mejoras a implementar.</w:t>
      </w:r>
    </w:p>
    <w:p>
      <w:pPr>
        <w:keepNext/>
        <w:spacing w:after="80" w:before="160"/>
      </w:pPr>
      <w:r>
        <w:rPr>
          <w:rFonts w:ascii="Arial" w:cs="Arial" w:eastAsia="Arial" w:hAnsi="Arial"/>
          <w:b/>
          <w:bCs/>
          <w:color w:val="0D5C46"/>
          <w:sz w:val="20"/>
          <w:szCs w:val="20"/>
        </w:rPr>
        <w:t xml:space="preserve">6.2. Brigadas</w:t>
      </w:r>
    </w:p>
    <w:p>
      <w:pPr>
        <w:keepNext/>
        <w:spacing w:after="60" w:before="120"/>
      </w:pPr>
      <w:r>
        <w:rPr>
          <w:rFonts w:ascii="Arial" w:cs="Arial" w:eastAsia="Arial" w:hAnsi="Arial"/>
          <w:b/>
          <w:bCs/>
          <w:sz w:val="20"/>
          <w:szCs w:val="20"/>
        </w:rPr>
        <w:t xml:space="preserve">➢ Brigada de primeros auxilios</w:t>
      </w:r>
    </w:p>
    <w:p>
      <w:pPr>
        <w:pStyle w:val="ListParagraph"/>
        <w:numPr>
          <w:ilvl w:val="0"/>
          <w:numId w:val="2"/>
        </w:numPr>
        <w:spacing w:after="50" w:before="0" w:line="276"/>
        <w:jc w:val="both"/>
      </w:pPr>
      <w:r>
        <w:rPr>
          <w:rFonts w:ascii="Arial" w:cs="Arial" w:eastAsia="Arial" w:hAnsi="Arial"/>
          <w:sz w:val="20"/>
          <w:szCs w:val="20"/>
        </w:rPr>
        <w:t xml:space="preserve">Brindar los primeros auxilios mientras llega la ayuda especializada.</w:t>
      </w:r>
    </w:p>
    <w:p>
      <w:pPr>
        <w:pStyle w:val="ListParagraph"/>
        <w:numPr>
          <w:ilvl w:val="0"/>
          <w:numId w:val="2"/>
        </w:numPr>
        <w:spacing w:after="50" w:before="0" w:line="276"/>
        <w:jc w:val="both"/>
      </w:pPr>
      <w:r>
        <w:rPr>
          <w:rFonts w:ascii="Arial" w:cs="Arial" w:eastAsia="Arial" w:hAnsi="Arial"/>
          <w:sz w:val="20"/>
          <w:szCs w:val="20"/>
        </w:rPr>
        <w:t xml:space="preserve">Preparar al herido para su traslado y coordinar su evacuación al centro de salud.</w:t>
      </w:r>
    </w:p>
    <w:p>
      <w:pPr>
        <w:pStyle w:val="ListParagraph"/>
        <w:numPr>
          <w:ilvl w:val="0"/>
          <w:numId w:val="2"/>
        </w:numPr>
        <w:spacing w:after="50" w:before="0" w:line="276"/>
        <w:jc w:val="both"/>
      </w:pPr>
      <w:r>
        <w:rPr>
          <w:rFonts w:ascii="Arial" w:cs="Arial" w:eastAsia="Arial" w:hAnsi="Arial"/>
          <w:sz w:val="20"/>
          <w:szCs w:val="20"/>
        </w:rPr>
        <w:t xml:space="preserve">Reponer los insumos del botiquín utilizados.</w:t>
      </w:r>
    </w:p>
    <w:p>
      <w:pPr>
        <w:keepNext/>
        <w:spacing w:after="60" w:before="120"/>
      </w:pPr>
      <w:r>
        <w:rPr>
          <w:rFonts w:ascii="Arial" w:cs="Arial" w:eastAsia="Arial" w:hAnsi="Arial"/>
          <w:b/>
          <w:bCs/>
          <w:sz w:val="20"/>
          <w:szCs w:val="20"/>
        </w:rPr>
        <w:t xml:space="preserve">➢ Brigada de evacuación y rescate</w:t>
      </w:r>
    </w:p>
    <w:p>
      <w:pPr>
        <w:pStyle w:val="ListParagraph"/>
        <w:numPr>
          <w:ilvl w:val="0"/>
          <w:numId w:val="2"/>
        </w:numPr>
        <w:spacing w:after="50" w:before="0" w:line="276"/>
        <w:jc w:val="both"/>
      </w:pPr>
      <w:r>
        <w:rPr>
          <w:rFonts w:ascii="Arial" w:cs="Arial" w:eastAsia="Arial" w:hAnsi="Arial"/>
          <w:sz w:val="20"/>
          <w:szCs w:val="20"/>
        </w:rPr>
        <w:t xml:space="preserve">Mantener libres las rutas de evacuación y conocer el punto de reunión.</w:t>
      </w:r>
    </w:p>
    <w:p>
      <w:pPr>
        <w:pStyle w:val="ListParagraph"/>
        <w:numPr>
          <w:ilvl w:val="0"/>
          <w:numId w:val="2"/>
        </w:numPr>
        <w:spacing w:after="50" w:before="0" w:line="276"/>
        <w:jc w:val="both"/>
      </w:pPr>
      <w:r>
        <w:rPr>
          <w:rFonts w:ascii="Arial" w:cs="Arial" w:eastAsia="Arial" w:hAnsi="Arial"/>
          <w:sz w:val="20"/>
          <w:szCs w:val="20"/>
        </w:rPr>
        <w:t xml:space="preserve">Guiar al personal durante la evacuación y realizar el conteo en el punto de reunión.</w:t>
      </w:r>
    </w:p>
    <w:p>
      <w:pPr>
        <w:keepNext/>
        <w:spacing w:after="60" w:before="120"/>
      </w:pPr>
      <w:r>
        <w:rPr>
          <w:rFonts w:ascii="Arial" w:cs="Arial" w:eastAsia="Arial" w:hAnsi="Arial"/>
          <w:b/>
          <w:bCs/>
          <w:sz w:val="20"/>
          <w:szCs w:val="20"/>
        </w:rPr>
        <w:t xml:space="preserve">➢ Brigada contra incendios</w:t>
      </w:r>
    </w:p>
    <w:p>
      <w:pPr>
        <w:pStyle w:val="ListParagraph"/>
        <w:numPr>
          <w:ilvl w:val="0"/>
          <w:numId w:val="2"/>
        </w:numPr>
        <w:spacing w:after="50" w:before="0" w:line="276"/>
        <w:jc w:val="both"/>
      </w:pPr>
      <w:r>
        <w:rPr>
          <w:rFonts w:ascii="Arial" w:cs="Arial" w:eastAsia="Arial" w:hAnsi="Arial"/>
          <w:sz w:val="20"/>
          <w:szCs w:val="20"/>
        </w:rPr>
        <w:t xml:space="preserve">Detectar condiciones que puedan originar incendios (cortocircuitos, sobrecarga de circuitos, tableros y extensiones en mal estado, chispas de amoladora).</w:t>
      </w:r>
    </w:p>
    <w:p>
      <w:pPr>
        <w:pStyle w:val="ListParagraph"/>
        <w:numPr>
          <w:ilvl w:val="0"/>
          <w:numId w:val="2"/>
        </w:numPr>
        <w:spacing w:after="50" w:before="0" w:line="276"/>
        <w:jc w:val="both"/>
      </w:pPr>
      <w:r>
        <w:rPr>
          <w:rFonts w:ascii="Arial" w:cs="Arial" w:eastAsia="Arial" w:hAnsi="Arial"/>
          <w:sz w:val="20"/>
          <w:szCs w:val="20"/>
        </w:rPr>
        <w:t xml:space="preserve">Usar los extintores según el procedimiento del punto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662"/>
        <w:gridCol w:w="2892"/>
      </w:tblGrid>
      <w:tr>
        <w:trPr>
          <w:cantSplit/>
          <w:tblHeader/>
          <w:trHeight w:val="420" w:hRule="atLeast"/>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BRIGADA</w:t>
            </w:r>
          </w:p>
        </w:tc>
        <w:tc>
          <w:tcPr>
            <w:tcW w:type="dxa" w:w="366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RESPONSABLE</w:t>
            </w:r>
          </w:p>
        </w:tc>
        <w:tc>
          <w:tcPr>
            <w:tcW w:type="dxa" w:w="289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Jefe de emergencia</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Primeros auxilios</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Evacuación y rescate</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Height w:val="420" w:hRule="atLeast"/>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Contra incendios</w:t>
            </w:r>
          </w:p>
        </w:tc>
        <w:tc>
          <w:tcPr>
            <w:tcW w:type="dxa" w:w="366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bl>
    <w:p>
      <w:pPr>
        <w:keepNext/>
        <w:spacing w:after="80" w:before="160"/>
      </w:pPr>
      <w:r>
        <w:rPr>
          <w:rFonts w:ascii="Arial" w:cs="Arial" w:eastAsia="Arial" w:hAnsi="Arial"/>
          <w:b/>
          <w:bCs/>
          <w:color w:val="0D5C46"/>
          <w:sz w:val="20"/>
          <w:szCs w:val="20"/>
        </w:rPr>
        <w:t xml:space="preserve">6.3. Trabajadores</w:t>
      </w:r>
    </w:p>
    <w:p>
      <w:pPr>
        <w:spacing w:after="100" w:before="0" w:line="276"/>
        <w:jc w:val="both"/>
      </w:pPr>
      <w:r>
        <w:rPr>
          <w:rFonts w:ascii="Arial" w:cs="Arial" w:eastAsia="Arial" w:hAnsi="Arial"/>
          <w:sz w:val="20"/>
          <w:szCs w:val="20"/>
        </w:rPr>
        <w:t xml:space="preserve">Todo el personal seguirá las indicaciones de las brigadas: mantener la calma, no gritar, no correr y no obstaculizar el trabajo de las brigadas ni del apoyo externo.</w:t>
      </w:r>
    </w:p>
    <w:p>
      <w:pPr>
        <w:keepNext/>
        <w:pBdr>
          <w:bottom w:val="single" w:color="0D5C46" w:sz="8" w:space="2"/>
        </w:pBdr>
        <w:spacing w:after="100" w:before="240"/>
      </w:pPr>
      <w:r>
        <w:rPr>
          <w:rFonts w:ascii="Arial" w:cs="Arial" w:eastAsia="Arial" w:hAnsi="Arial"/>
          <w:b/>
          <w:bCs/>
          <w:color w:val="0D5C46"/>
          <w:sz w:val="22"/>
          <w:szCs w:val="22"/>
        </w:rPr>
        <w:t xml:space="preserve">7. PLANIFICACIÓN</w:t>
      </w:r>
    </w:p>
    <w:p>
      <w:pPr>
        <w:keepNext/>
        <w:spacing w:after="80" w:before="160"/>
      </w:pPr>
      <w:r>
        <w:rPr>
          <w:rFonts w:ascii="Arial" w:cs="Arial" w:eastAsia="Arial" w:hAnsi="Arial"/>
          <w:b/>
          <w:bCs/>
          <w:color w:val="0D5C46"/>
          <w:sz w:val="20"/>
          <w:szCs w:val="20"/>
        </w:rPr>
        <w:t xml:space="preserve">7.1. Objetivos</w:t>
      </w:r>
    </w:p>
    <w:p>
      <w:pPr>
        <w:pStyle w:val="ListParagraph"/>
        <w:numPr>
          <w:ilvl w:val="0"/>
          <w:numId w:val="2"/>
        </w:numPr>
        <w:spacing w:after="50" w:before="0" w:line="276"/>
        <w:jc w:val="both"/>
      </w:pPr>
      <w:r>
        <w:rPr>
          <w:rFonts w:ascii="Arial" w:cs="Arial" w:eastAsia="Arial" w:hAnsi="Arial"/>
          <w:sz w:val="20"/>
          <w:szCs w:val="20"/>
        </w:rPr>
        <w:t xml:space="preserve">Proteger la integridad física y la salud del personal propio, de otras contratas y de terceros.</w:t>
      </w:r>
    </w:p>
    <w:p>
      <w:pPr>
        <w:pStyle w:val="ListParagraph"/>
        <w:numPr>
          <w:ilvl w:val="0"/>
          <w:numId w:val="2"/>
        </w:numPr>
        <w:spacing w:after="50" w:before="0" w:line="276"/>
        <w:jc w:val="both"/>
      </w:pPr>
      <w:r>
        <w:rPr>
          <w:rFonts w:ascii="Arial" w:cs="Arial" w:eastAsia="Arial" w:hAnsi="Arial"/>
          <w:sz w:val="20"/>
          <w:szCs w:val="20"/>
        </w:rPr>
        <w:t xml:space="preserve">Capacitar a todos los trabajadores para actuar ante emergencias.</w:t>
      </w:r>
    </w:p>
    <w:p>
      <w:pPr>
        <w:pStyle w:val="ListParagraph"/>
        <w:numPr>
          <w:ilvl w:val="0"/>
          <w:numId w:val="2"/>
        </w:numPr>
        <w:spacing w:after="50" w:before="0" w:line="276"/>
        <w:jc w:val="both"/>
      </w:pPr>
      <w:r>
        <w:rPr>
          <w:rFonts w:ascii="Arial" w:cs="Arial" w:eastAsia="Arial" w:hAnsi="Arial"/>
          <w:sz w:val="20"/>
          <w:szCs w:val="20"/>
        </w:rPr>
        <w:t xml:space="preserve">Estandarizar las acciones a seguir en caso de accidente, conociendo los medios de comunicación.</w:t>
      </w:r>
    </w:p>
    <w:p>
      <w:pPr>
        <w:keepNext/>
        <w:spacing w:after="80" w:before="160"/>
      </w:pPr>
      <w:r>
        <w:rPr>
          <w:rFonts w:ascii="Arial" w:cs="Arial" w:eastAsia="Arial" w:hAnsi="Arial"/>
          <w:b/>
          <w:bCs/>
          <w:color w:val="0D5C46"/>
          <w:sz w:val="20"/>
          <w:szCs w:val="20"/>
        </w:rPr>
        <w:t xml:space="preserve">7.2. Metas</w:t>
      </w:r>
    </w:p>
    <w:p>
      <w:pPr>
        <w:spacing w:after="100" w:before="0" w:line="276"/>
        <w:jc w:val="both"/>
      </w:pPr>
      <w:r>
        <w:rPr>
          <w:rFonts w:ascii="Arial" w:cs="Arial" w:eastAsia="Arial" w:hAnsi="Arial"/>
          <w:sz w:val="20"/>
          <w:szCs w:val="20"/>
        </w:rPr>
        <w:t xml:space="preserve">Cumplir el 100 % de las disposiciones de este plan en cada obra y que el 100 % del personal conozca el punto de reunión, las rutas de evacuación y los números de emergencia.</w:t>
      </w:r>
    </w:p>
    <w:p>
      <w:pPr>
        <w:keepNext/>
        <w:spacing w:after="80" w:before="160"/>
      </w:pPr>
      <w:r>
        <w:rPr>
          <w:rFonts w:ascii="Arial" w:cs="Arial" w:eastAsia="Arial" w:hAnsi="Arial"/>
          <w:b/>
          <w:bCs/>
          <w:color w:val="0D5C46"/>
          <w:sz w:val="20"/>
          <w:szCs w:val="20"/>
        </w:rPr>
        <w:t xml:space="preserve">7.3. Estrategias</w:t>
      </w:r>
    </w:p>
    <w:p>
      <w:pPr>
        <w:pStyle w:val="ListParagraph"/>
        <w:numPr>
          <w:ilvl w:val="0"/>
          <w:numId w:val="2"/>
        </w:numPr>
        <w:spacing w:after="50" w:before="0" w:line="276"/>
        <w:jc w:val="both"/>
      </w:pPr>
      <w:r>
        <w:rPr>
          <w:rFonts w:ascii="Arial" w:cs="Arial" w:eastAsia="Arial" w:hAnsi="Arial"/>
          <w:sz w:val="20"/>
          <w:szCs w:val="20"/>
        </w:rPr>
        <w:t xml:space="preserve">Difundir este plan en la inducción y en las charlas de 5 minutos.</w:t>
      </w:r>
    </w:p>
    <w:p>
      <w:pPr>
        <w:pStyle w:val="ListParagraph"/>
        <w:numPr>
          <w:ilvl w:val="0"/>
          <w:numId w:val="2"/>
        </w:numPr>
        <w:spacing w:after="50" w:before="0" w:line="276"/>
        <w:jc w:val="both"/>
      </w:pPr>
      <w:r>
        <w:rPr>
          <w:rFonts w:ascii="Arial" w:cs="Arial" w:eastAsia="Arial" w:hAnsi="Arial"/>
          <w:sz w:val="20"/>
          <w:szCs w:val="20"/>
        </w:rPr>
        <w:t xml:space="preserve">Participar en los simulacros programados por el contratista principal.</w:t>
      </w:r>
    </w:p>
    <w:p>
      <w:pPr>
        <w:pStyle w:val="ListParagraph"/>
        <w:numPr>
          <w:ilvl w:val="0"/>
          <w:numId w:val="2"/>
        </w:numPr>
        <w:spacing w:after="50" w:before="0" w:line="276"/>
        <w:jc w:val="both"/>
      </w:pPr>
      <w:r>
        <w:rPr>
          <w:rFonts w:ascii="Arial" w:cs="Arial" w:eastAsia="Arial" w:hAnsi="Arial"/>
          <w:sz w:val="20"/>
          <w:szCs w:val="20"/>
        </w:rPr>
        <w:t xml:space="preserve">Inspeccionar mensualmente el botiquín y los extintores.</w:t>
      </w:r>
    </w:p>
    <w:p>
      <w:pPr>
        <w:keepNext/>
        <w:spacing w:after="80" w:before="160"/>
      </w:pPr>
      <w:r>
        <w:rPr>
          <w:rFonts w:ascii="Arial" w:cs="Arial" w:eastAsia="Arial" w:hAnsi="Arial"/>
          <w:b/>
          <w:bCs/>
          <w:color w:val="0D5C46"/>
          <w:sz w:val="20"/>
          <w:szCs w:val="20"/>
        </w:rPr>
        <w:t xml:space="preserve">7.4. Recursos para la respuesta</w:t>
      </w:r>
    </w:p>
    <w:p>
      <w:pPr>
        <w:pStyle w:val="ListParagraph"/>
        <w:numPr>
          <w:ilvl w:val="0"/>
          <w:numId w:val="2"/>
        </w:numPr>
        <w:spacing w:after="50" w:before="0" w:line="276"/>
        <w:jc w:val="both"/>
      </w:pPr>
      <w:r>
        <w:rPr>
          <w:rFonts w:ascii="Arial" w:cs="Arial" w:eastAsia="Arial" w:hAnsi="Arial"/>
          <w:sz w:val="20"/>
          <w:szCs w:val="20"/>
        </w:rPr>
        <w:t xml:space="preserve">Botiquín de primeros auxilios en el área de trabajo</w:t>
      </w:r>
    </w:p>
    <w:p>
      <w:pPr>
        <w:pStyle w:val="ListParagraph"/>
        <w:numPr>
          <w:ilvl w:val="0"/>
          <w:numId w:val="2"/>
        </w:numPr>
        <w:spacing w:after="50" w:before="0" w:line="276"/>
        <w:jc w:val="both"/>
      </w:pPr>
      <w:r>
        <w:rPr>
          <w:rFonts w:ascii="Arial" w:cs="Arial" w:eastAsia="Arial" w:hAnsi="Arial"/>
          <w:sz w:val="20"/>
          <w:szCs w:val="20"/>
        </w:rPr>
        <w:t xml:space="preserve">Extintor de CO2 o PQS cerca de los tableros eléctricos</w:t>
      </w:r>
    </w:p>
    <w:p>
      <w:pPr>
        <w:pStyle w:val="ListParagraph"/>
        <w:numPr>
          <w:ilvl w:val="0"/>
          <w:numId w:val="2"/>
        </w:numPr>
        <w:spacing w:after="50" w:before="0" w:line="276"/>
        <w:jc w:val="both"/>
      </w:pPr>
      <w:r>
        <w:rPr>
          <w:rFonts w:ascii="Arial" w:cs="Arial" w:eastAsia="Arial" w:hAnsi="Arial"/>
          <w:sz w:val="20"/>
          <w:szCs w:val="20"/>
        </w:rPr>
        <w:t xml:space="preserve">Pértiga o elemento aislante para separar a una víctima de la corriente</w:t>
      </w:r>
    </w:p>
    <w:p>
      <w:pPr>
        <w:pStyle w:val="ListParagraph"/>
        <w:numPr>
          <w:ilvl w:val="0"/>
          <w:numId w:val="2"/>
        </w:numPr>
        <w:spacing w:after="50" w:before="0" w:line="276"/>
        <w:jc w:val="both"/>
      </w:pPr>
      <w:r>
        <w:rPr>
          <w:rFonts w:ascii="Arial" w:cs="Arial" w:eastAsia="Arial" w:hAnsi="Arial"/>
          <w:sz w:val="20"/>
          <w:szCs w:val="20"/>
        </w:rPr>
        <w:t xml:space="preserve">Candados y tarjetas de bloqueo</w:t>
      </w:r>
    </w:p>
    <w:p>
      <w:pPr>
        <w:pStyle w:val="ListParagraph"/>
        <w:numPr>
          <w:ilvl w:val="0"/>
          <w:numId w:val="2"/>
        </w:numPr>
        <w:spacing w:after="50" w:before="0" w:line="276"/>
        <w:jc w:val="both"/>
      </w:pPr>
      <w:r>
        <w:rPr>
          <w:rFonts w:ascii="Arial" w:cs="Arial" w:eastAsia="Arial" w:hAnsi="Arial"/>
          <w:sz w:val="20"/>
          <w:szCs w:val="20"/>
        </w:rPr>
        <w:t xml:space="preserve">Directorio de emergencia visible</w:t>
      </w:r>
    </w:p>
    <w:p>
      <w:pPr>
        <w:keepNext/>
        <w:pBdr>
          <w:bottom w:val="single" w:color="0D5C46" w:sz="8" w:space="2"/>
        </w:pBdr>
        <w:spacing w:after="100" w:before="240"/>
      </w:pPr>
      <w:r>
        <w:rPr>
          <w:rFonts w:ascii="Arial" w:cs="Arial" w:eastAsia="Arial" w:hAnsi="Arial"/>
          <w:b/>
          <w:bCs/>
          <w:color w:val="0D5C46"/>
          <w:sz w:val="22"/>
          <w:szCs w:val="22"/>
        </w:rPr>
        <w:t xml:space="preserve">8. SITUACIONES POTENCIALES DE EMERGENCIA</w:t>
      </w:r>
    </w:p>
    <w:p>
      <w:pPr>
        <w:spacing w:after="100" w:before="0" w:line="276"/>
        <w:jc w:val="both"/>
      </w:pPr>
      <w:r>
        <w:rPr>
          <w:rFonts w:ascii="Arial" w:cs="Arial" w:eastAsia="Arial" w:hAnsi="Arial"/>
          <w:sz w:val="20"/>
          <w:szCs w:val="20"/>
        </w:rPr>
        <w:t xml:space="preserve">De acuerdo con las actividades de electricidad, se han identificado las siguientes situaciones: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6554"/>
      </w:tblGrid>
      <w:tr>
        <w:trPr>
          <w:cantSplit/>
          <w:tblHeader/>
        </w:trPr>
        <w:tc>
          <w:tcPr>
            <w:tcW w:type="dxa" w:w="308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SITUACIÓN</w:t>
            </w:r>
          </w:p>
        </w:tc>
        <w:tc>
          <w:tcPr>
            <w:tcW w:type="dxa" w:w="6554"/>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CAUSA PROBABLE EN LA ACTIVIDAD</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Electrocución / contacto eléctrico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Trabajo en circuitos energizados, energización accidental, herramientas sin aislamiento</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Arco eléctrico y quemaduras</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Maniobras en tableros, cortocircuitos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Incendio de origen eléctrico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Cortocircuito, sobrecarga, conexiones flojas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Caída a distinto nivel</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Instalación de luminarias, ductos, escaleras y andamios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Cortes y proyección de partículas</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Picado de muros, uso de amoladora y cuchillas</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Derrumbe en excavación</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Excavación del pozo a tierra</w:t>
            </w:r>
          </w:p>
        </w:tc>
      </w:tr>
      <w:tr>
        <w:trPr>
          <w:cantSplit/>
          <w:tblHeader w:val="false"/>
        </w:trPr>
        <w:tc>
          <w:tcPr>
            <w:tcW w:type="dxa" w:w="308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Sismo</w:t>
            </w:r>
          </w:p>
        </w:tc>
        <w:tc>
          <w:tcPr>
            <w:tcW w:type="dxa" w:w="6554"/>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Evento natural</w:t>
            </w:r>
          </w:p>
        </w:tc>
      </w:tr>
    </w:tbl>
    <w:p>
      <w:pPr>
        <w:keepNext/>
        <w:pBdr>
          <w:bottom w:val="single" w:color="0D5C46" w:sz="8" w:space="2"/>
        </w:pBdr>
        <w:spacing w:after="100" w:before="240"/>
      </w:pPr>
      <w:r>
        <w:rPr>
          <w:rFonts w:ascii="Arial" w:cs="Arial" w:eastAsia="Arial" w:hAnsi="Arial"/>
          <w:b/>
          <w:bCs/>
          <w:color w:val="0D5C46"/>
          <w:sz w:val="22"/>
          <w:szCs w:val="22"/>
        </w:rPr>
        <w:t xml:space="preserve">9. ANTES, DURANTE Y DESPUÉS DE LA EMERGENCIA</w:t>
      </w:r>
    </w:p>
    <w:p>
      <w:pPr>
        <w:keepNext/>
        <w:spacing w:after="60" w:before="120"/>
      </w:pPr>
      <w:r>
        <w:rPr>
          <w:rFonts w:ascii="Arial" w:cs="Arial" w:eastAsia="Arial" w:hAnsi="Arial"/>
          <w:b/>
          <w:bCs/>
          <w:sz w:val="20"/>
          <w:szCs w:val="20"/>
        </w:rPr>
        <w:t xml:space="preserve">➢ Antes</w:t>
      </w:r>
    </w:p>
    <w:p>
      <w:pPr>
        <w:pStyle w:val="ListParagraph"/>
        <w:numPr>
          <w:ilvl w:val="0"/>
          <w:numId w:val="2"/>
        </w:numPr>
        <w:spacing w:after="50" w:before="0" w:line="276"/>
        <w:jc w:val="both"/>
      </w:pPr>
      <w:r>
        <w:rPr>
          <w:rFonts w:ascii="Arial" w:cs="Arial" w:eastAsia="Arial" w:hAnsi="Arial"/>
          <w:sz w:val="20"/>
          <w:szCs w:val="20"/>
        </w:rPr>
        <w:t xml:space="preserve">Capacitar al personal en primeros auxilios, uso de extintores y evacuación; verificar la señalización de rutas y zonas seguras.</w:t>
      </w:r>
    </w:p>
    <w:p>
      <w:pPr>
        <w:pStyle w:val="ListParagraph"/>
        <w:numPr>
          <w:ilvl w:val="0"/>
          <w:numId w:val="2"/>
        </w:numPr>
        <w:spacing w:after="50" w:before="0" w:line="276"/>
        <w:jc w:val="both"/>
      </w:pPr>
      <w:r>
        <w:rPr>
          <w:rFonts w:ascii="Arial" w:cs="Arial" w:eastAsia="Arial" w:hAnsi="Arial"/>
          <w:sz w:val="20"/>
          <w:szCs w:val="20"/>
        </w:rPr>
        <w:t xml:space="preserve">Mantener el botiquín, el extintor y el directorio de emergencias disponibles en el área de trabajo.</w:t>
      </w:r>
    </w:p>
    <w:p>
      <w:pPr>
        <w:keepNext/>
        <w:spacing w:after="60" w:before="120"/>
      </w:pPr>
      <w:r>
        <w:rPr>
          <w:rFonts w:ascii="Arial" w:cs="Arial" w:eastAsia="Arial" w:hAnsi="Arial"/>
          <w:b/>
          <w:bCs/>
          <w:sz w:val="20"/>
          <w:szCs w:val="20"/>
        </w:rPr>
        <w:t xml:space="preserve">➢ Durante</w:t>
      </w:r>
    </w:p>
    <w:p>
      <w:pPr>
        <w:pStyle w:val="ListParagraph"/>
        <w:numPr>
          <w:ilvl w:val="0"/>
          <w:numId w:val="2"/>
        </w:numPr>
        <w:spacing w:after="50" w:before="0" w:line="276"/>
        <w:jc w:val="both"/>
      </w:pPr>
      <w:r>
        <w:rPr>
          <w:rFonts w:ascii="Arial" w:cs="Arial" w:eastAsia="Arial" w:hAnsi="Arial"/>
          <w:sz w:val="20"/>
          <w:szCs w:val="20"/>
        </w:rPr>
        <w:t xml:space="preserve">Dar la alarma, detener los trabajos y cortar la energía desde el tablero general.</w:t>
      </w:r>
    </w:p>
    <w:p>
      <w:pPr>
        <w:pStyle w:val="ListParagraph"/>
        <w:numPr>
          <w:ilvl w:val="0"/>
          <w:numId w:val="2"/>
        </w:numPr>
        <w:spacing w:after="50" w:before="0" w:line="276"/>
        <w:jc w:val="both"/>
      </w:pPr>
      <w:r>
        <w:rPr>
          <w:rFonts w:ascii="Arial" w:cs="Arial" w:eastAsia="Arial" w:hAnsi="Arial"/>
          <w:sz w:val="20"/>
          <w:szCs w:val="20"/>
        </w:rPr>
        <w:t xml:space="preserve">Las brigadas actúan según los procedimientos del punto 10; el resto del personal evacúa al punto de reunión.</w:t>
      </w:r>
    </w:p>
    <w:p>
      <w:pPr>
        <w:keepNext/>
        <w:spacing w:after="60" w:before="120"/>
      </w:pPr>
      <w:r>
        <w:rPr>
          <w:rFonts w:ascii="Arial" w:cs="Arial" w:eastAsia="Arial" w:hAnsi="Arial"/>
          <w:b/>
          <w:bCs/>
          <w:sz w:val="20"/>
          <w:szCs w:val="20"/>
        </w:rPr>
        <w:t xml:space="preserve">➢ Después</w:t>
      </w:r>
    </w:p>
    <w:p>
      <w:pPr>
        <w:pStyle w:val="ListParagraph"/>
        <w:numPr>
          <w:ilvl w:val="0"/>
          <w:numId w:val="2"/>
        </w:numPr>
        <w:spacing w:after="50" w:before="0" w:line="276"/>
        <w:jc w:val="both"/>
      </w:pPr>
      <w:r>
        <w:rPr>
          <w:rFonts w:ascii="Arial" w:cs="Arial" w:eastAsia="Arial" w:hAnsi="Arial"/>
          <w:sz w:val="20"/>
          <w:szCs w:val="20"/>
        </w:rPr>
        <w:t xml:space="preserve">Verificar que todo el personal esté en el punto de reunión, evaluar daños y no reingresar hasta la autorización del jefe de emergencia.</w:t>
      </w:r>
    </w:p>
    <w:p>
      <w:pPr>
        <w:pStyle w:val="ListParagraph"/>
        <w:numPr>
          <w:ilvl w:val="0"/>
          <w:numId w:val="2"/>
        </w:numPr>
        <w:spacing w:after="50" w:before="0" w:line="276"/>
        <w:jc w:val="both"/>
      </w:pPr>
      <w:r>
        <w:rPr>
          <w:rFonts w:ascii="Arial" w:cs="Arial" w:eastAsia="Arial" w:hAnsi="Arial"/>
          <w:sz w:val="20"/>
          <w:szCs w:val="20"/>
        </w:rPr>
        <w:t xml:space="preserve">Reponer los recursos usados, investigar el evento y corregir los procedimientos.</w:t>
      </w:r>
    </w:p>
    <w:p>
      <w:pPr>
        <w:keepNext/>
        <w:pBdr>
          <w:bottom w:val="single" w:color="0D5C46" w:sz="8" w:space="2"/>
        </w:pBdr>
        <w:spacing w:after="100" w:before="240"/>
      </w:pPr>
      <w:r>
        <w:rPr>
          <w:rFonts w:ascii="Arial" w:cs="Arial" w:eastAsia="Arial" w:hAnsi="Arial"/>
          <w:b/>
          <w:bCs/>
          <w:color w:val="0D5C46"/>
          <w:sz w:val="22"/>
          <w:szCs w:val="22"/>
        </w:rPr>
        <w:t xml:space="preserve">10. PROCEDIMIENTOS DE RESPUESTA A EMERGENCIAS</w:t>
      </w:r>
    </w:p>
    <w:p>
      <w:pPr>
        <w:keepNext/>
        <w:spacing w:after="80" w:before="160"/>
      </w:pPr>
      <w:r>
        <w:rPr>
          <w:rFonts w:ascii="Arial" w:cs="Arial" w:eastAsia="Arial" w:hAnsi="Arial"/>
          <w:b/>
          <w:bCs/>
          <w:color w:val="0D5C46"/>
          <w:sz w:val="20"/>
          <w:szCs w:val="20"/>
        </w:rPr>
        <w:t xml:space="preserve">10.1. En caso de accidentes de trabajo</w:t>
      </w:r>
    </w:p>
    <w:p>
      <w:pPr>
        <w:pStyle w:val="ListParagraph"/>
        <w:numPr>
          <w:ilvl w:val="0"/>
          <w:numId w:val="2"/>
        </w:numPr>
        <w:spacing w:after="50" w:before="0" w:line="276"/>
        <w:jc w:val="both"/>
      </w:pPr>
      <w:r>
        <w:rPr>
          <w:rFonts w:ascii="Arial" w:cs="Arial" w:eastAsia="Arial" w:hAnsi="Arial"/>
          <w:sz w:val="20"/>
          <w:szCs w:val="20"/>
        </w:rPr>
        <w:t xml:space="preserve">Apagar o desconectar de inmediato el equipo causante y asegurar el área para evitar más víctimas.</w:t>
      </w:r>
    </w:p>
    <w:p>
      <w:pPr>
        <w:pStyle w:val="ListParagraph"/>
        <w:numPr>
          <w:ilvl w:val="0"/>
          <w:numId w:val="2"/>
        </w:numPr>
        <w:spacing w:after="50" w:before="0" w:line="276"/>
        <w:jc w:val="both"/>
      </w:pPr>
      <w:r>
        <w:rPr>
          <w:rFonts w:ascii="Arial" w:cs="Arial" w:eastAsia="Arial" w:hAnsi="Arial"/>
          <w:sz w:val="20"/>
          <w:szCs w:val="20"/>
        </w:rPr>
        <w:t xml:space="preserve">Pedir ayuda al brigadista de primeros auxilios; en lesiones graves llamar a una ambulancia (SAMU 106).</w:t>
      </w:r>
    </w:p>
    <w:p>
      <w:pPr>
        <w:pStyle w:val="ListParagraph"/>
        <w:numPr>
          <w:ilvl w:val="0"/>
          <w:numId w:val="2"/>
        </w:numPr>
        <w:spacing w:after="50" w:before="0" w:line="276"/>
        <w:jc w:val="both"/>
      </w:pPr>
      <w:r>
        <w:rPr>
          <w:rFonts w:ascii="Arial" w:cs="Arial" w:eastAsia="Arial" w:hAnsi="Arial"/>
          <w:sz w:val="20"/>
          <w:szCs w:val="20"/>
        </w:rPr>
        <w:t xml:space="preserve">No mover al trabajador si ha sufrido una caída de altura o un golpe fuerte, salvo que su vida corra peligro.</w:t>
      </w:r>
    </w:p>
    <w:p>
      <w:pPr>
        <w:pStyle w:val="ListParagraph"/>
        <w:numPr>
          <w:ilvl w:val="0"/>
          <w:numId w:val="2"/>
        </w:numPr>
        <w:spacing w:after="50" w:before="0" w:line="276"/>
        <w:jc w:val="both"/>
      </w:pPr>
      <w:r>
        <w:rPr>
          <w:rFonts w:ascii="Arial" w:cs="Arial" w:eastAsia="Arial" w:hAnsi="Arial"/>
          <w:sz w:val="20"/>
          <w:szCs w:val="20"/>
        </w:rPr>
        <w:t xml:space="preserve">Informar de inmediato al jefe de emergencia y al área SSOMA del contratista principal.</w:t>
      </w:r>
    </w:p>
    <w:p>
      <w:pPr>
        <w:pStyle w:val="ListParagraph"/>
        <w:numPr>
          <w:ilvl w:val="0"/>
          <w:numId w:val="2"/>
        </w:numPr>
        <w:spacing w:after="50" w:before="0" w:line="276"/>
        <w:jc w:val="both"/>
      </w:pPr>
      <w:r>
        <w:rPr>
          <w:rFonts w:ascii="Arial" w:cs="Arial" w:eastAsia="Arial" w:hAnsi="Arial"/>
          <w:sz w:val="20"/>
          <w:szCs w:val="20"/>
        </w:rPr>
        <w:t xml:space="preserve">Llamar a la central de emergencias de La Positiva (01) 211-0211 para activar el SCTR. El accidentado será trasladado a una clínica de la red SCTR de La Positiva; se llevará la Solicitud de Atención Médica SCTR de La Positiva llenada por la empresa y el DNI del trabajador.</w:t>
      </w:r>
    </w:p>
    <w:p>
      <w:pPr>
        <w:keepNext/>
        <w:spacing w:after="80" w:before="160"/>
      </w:pPr>
      <w:r>
        <w:rPr>
          <w:rFonts w:ascii="Arial" w:cs="Arial" w:eastAsia="Arial" w:hAnsi="Arial"/>
          <w:b/>
          <w:bCs/>
          <w:color w:val="0D5C46"/>
          <w:sz w:val="20"/>
          <w:szCs w:val="20"/>
        </w:rPr>
        <w:t xml:space="preserve">10.2. En caso de sismo</w:t>
      </w:r>
    </w:p>
    <w:p>
      <w:pPr>
        <w:pStyle w:val="ListParagraph"/>
        <w:numPr>
          <w:ilvl w:val="0"/>
          <w:numId w:val="2"/>
        </w:numPr>
        <w:spacing w:after="50" w:before="0" w:line="276"/>
        <w:jc w:val="both"/>
      </w:pPr>
      <w:r>
        <w:rPr>
          <w:rFonts w:ascii="Arial" w:cs="Arial" w:eastAsia="Arial" w:hAnsi="Arial"/>
          <w:sz w:val="20"/>
          <w:szCs w:val="20"/>
        </w:rPr>
        <w:t xml:space="preserve">Detener los trabajos, desenergizar los circuitos en los que se trabaja y soltar las herramientas, y alejarse de ventanas, bordes de losa, zanjas y materiales que puedan caer.</w:t>
      </w:r>
    </w:p>
    <w:p>
      <w:pPr>
        <w:pStyle w:val="ListParagraph"/>
        <w:numPr>
          <w:ilvl w:val="0"/>
          <w:numId w:val="2"/>
        </w:numPr>
        <w:spacing w:after="50" w:before="0" w:line="276"/>
        <w:jc w:val="both"/>
      </w:pPr>
      <w:r>
        <w:rPr>
          <w:rFonts w:ascii="Arial" w:cs="Arial" w:eastAsia="Arial" w:hAnsi="Arial"/>
          <w:sz w:val="20"/>
          <w:szCs w:val="20"/>
        </w:rPr>
        <w:t xml:space="preserve">Evacuar con calma por las rutas señalizadas hacia el punto de reunión; no usar escaleras de mano durante el movimiento.</w:t>
      </w:r>
    </w:p>
    <w:p>
      <w:pPr>
        <w:pStyle w:val="ListParagraph"/>
        <w:numPr>
          <w:ilvl w:val="0"/>
          <w:numId w:val="2"/>
        </w:numPr>
        <w:spacing w:after="50" w:before="0" w:line="276"/>
        <w:jc w:val="both"/>
      </w:pPr>
      <w:r>
        <w:rPr>
          <w:rFonts w:ascii="Arial" w:cs="Arial" w:eastAsia="Arial" w:hAnsi="Arial"/>
          <w:sz w:val="20"/>
          <w:szCs w:val="20"/>
        </w:rPr>
        <w:t xml:space="preserve">Después del sismo no reingresar hasta que el área sea inspeccionada; revisar fugas de agua, gas y daños eléctricos.</w:t>
      </w:r>
    </w:p>
    <w:p>
      <w:pPr>
        <w:keepNext/>
        <w:spacing w:after="80" w:before="160"/>
      </w:pPr>
      <w:r>
        <w:rPr>
          <w:rFonts w:ascii="Arial" w:cs="Arial" w:eastAsia="Arial" w:hAnsi="Arial"/>
          <w:b/>
          <w:bCs/>
          <w:color w:val="0D5C46"/>
          <w:sz w:val="20"/>
          <w:szCs w:val="20"/>
        </w:rPr>
        <w:t xml:space="preserve">10.3. En caso de incendio y uso de extintores</w:t>
      </w:r>
    </w:p>
    <w:p>
      <w:pPr>
        <w:pStyle w:val="ListParagraph"/>
        <w:numPr>
          <w:ilvl w:val="0"/>
          <w:numId w:val="2"/>
        </w:numPr>
        <w:spacing w:after="50" w:before="0" w:line="276"/>
        <w:jc w:val="both"/>
      </w:pPr>
      <w:r>
        <w:rPr>
          <w:rFonts w:ascii="Arial" w:cs="Arial" w:eastAsia="Arial" w:hAnsi="Arial"/>
          <w:sz w:val="20"/>
          <w:szCs w:val="20"/>
        </w:rPr>
        <w:t xml:space="preserve">Dar la alarma y cortar la energía de la zona.</w:t>
      </w:r>
    </w:p>
    <w:p>
      <w:pPr>
        <w:pStyle w:val="ListParagraph"/>
        <w:numPr>
          <w:ilvl w:val="0"/>
          <w:numId w:val="2"/>
        </w:numPr>
        <w:spacing w:after="50" w:before="0" w:line="276"/>
        <w:jc w:val="both"/>
      </w:pPr>
      <w:r>
        <w:rPr>
          <w:rFonts w:ascii="Arial" w:cs="Arial" w:eastAsia="Arial" w:hAnsi="Arial"/>
          <w:sz w:val="20"/>
          <w:szCs w:val="20"/>
        </w:rPr>
        <w:t xml:space="preserve">Tomar el extintor adecuado (CO2 o PQS; nunca usar agua en fuego eléctrico), colocarse a favor del viento y a una distancia prudente.</w:t>
      </w:r>
    </w:p>
    <w:p>
      <w:pPr>
        <w:pStyle w:val="ListParagraph"/>
        <w:numPr>
          <w:ilvl w:val="0"/>
          <w:numId w:val="2"/>
        </w:numPr>
        <w:spacing w:after="50" w:before="0" w:line="276"/>
        <w:jc w:val="both"/>
      </w:pPr>
      <w:r>
        <w:rPr>
          <w:rFonts w:ascii="Arial" w:cs="Arial" w:eastAsia="Arial" w:hAnsi="Arial"/>
          <w:sz w:val="20"/>
          <w:szCs w:val="20"/>
        </w:rPr>
        <w:t xml:space="preserve">Retirar el seguro, apuntar la manguera a la base del fuego, presionar la manija y descargar en forma de abanico.</w:t>
      </w:r>
    </w:p>
    <w:p>
      <w:pPr>
        <w:pStyle w:val="ListParagraph"/>
        <w:numPr>
          <w:ilvl w:val="0"/>
          <w:numId w:val="2"/>
        </w:numPr>
        <w:spacing w:after="50" w:before="0" w:line="276"/>
        <w:jc w:val="both"/>
      </w:pPr>
      <w:r>
        <w:rPr>
          <w:rFonts w:ascii="Arial" w:cs="Arial" w:eastAsia="Arial" w:hAnsi="Arial"/>
          <w:sz w:val="20"/>
          <w:szCs w:val="20"/>
        </w:rPr>
        <w:t xml:space="preserve">Si el fuego no se controla en los primeros segundos, evacuar y llamar a los bomberos (116).</w:t>
      </w:r>
    </w:p>
    <w:p>
      <w:pPr>
        <w:keepNext/>
        <w:spacing w:after="80" w:before="160"/>
      </w:pPr>
      <w:r>
        <w:rPr>
          <w:rFonts w:ascii="Arial" w:cs="Arial" w:eastAsia="Arial" w:hAnsi="Arial"/>
          <w:b/>
          <w:bCs/>
          <w:color w:val="0D5C46"/>
          <w:sz w:val="20"/>
          <w:szCs w:val="20"/>
        </w:rPr>
        <w:t xml:space="preserve">10.4. Primeros auxilios</w:t>
      </w:r>
    </w:p>
    <w:p>
      <w:pPr>
        <w:keepNext/>
        <w:spacing w:after="60" w:before="120"/>
      </w:pPr>
      <w:r>
        <w:rPr>
          <w:rFonts w:ascii="Arial" w:cs="Arial" w:eastAsia="Arial" w:hAnsi="Arial"/>
          <w:b/>
          <w:bCs/>
          <w:sz w:val="20"/>
          <w:szCs w:val="20"/>
        </w:rPr>
        <w:t xml:space="preserve">➢ Lo que se debe hacer</w:t>
      </w:r>
    </w:p>
    <w:p>
      <w:pPr>
        <w:pStyle w:val="ListParagraph"/>
        <w:numPr>
          <w:ilvl w:val="0"/>
          <w:numId w:val="2"/>
        </w:numPr>
        <w:spacing w:after="50" w:before="0" w:line="276"/>
        <w:jc w:val="both"/>
      </w:pPr>
      <w:r>
        <w:rPr>
          <w:rFonts w:ascii="Arial" w:cs="Arial" w:eastAsia="Arial" w:hAnsi="Arial"/>
          <w:sz w:val="20"/>
          <w:szCs w:val="20"/>
        </w:rPr>
        <w:t xml:space="preserve">Verificar la respiración y el estado de conciencia; si no respira, iniciar RCP si se está capacitado.</w:t>
      </w:r>
    </w:p>
    <w:p>
      <w:pPr>
        <w:pStyle w:val="ListParagraph"/>
        <w:numPr>
          <w:ilvl w:val="0"/>
          <w:numId w:val="2"/>
        </w:numPr>
        <w:spacing w:after="50" w:before="0" w:line="276"/>
        <w:jc w:val="both"/>
      </w:pPr>
      <w:r>
        <w:rPr>
          <w:rFonts w:ascii="Arial" w:cs="Arial" w:eastAsia="Arial" w:hAnsi="Arial"/>
          <w:sz w:val="20"/>
          <w:szCs w:val="20"/>
        </w:rPr>
        <w:t xml:space="preserve">Detener hemorragias con presión directa sobre la herida y elevando el miembro; no usar torniquete salvo indicación médica.</w:t>
      </w:r>
    </w:p>
    <w:p>
      <w:pPr>
        <w:pStyle w:val="ListParagraph"/>
        <w:numPr>
          <w:ilvl w:val="0"/>
          <w:numId w:val="2"/>
        </w:numPr>
        <w:spacing w:after="50" w:before="0" w:line="276"/>
        <w:jc w:val="both"/>
      </w:pPr>
      <w:r>
        <w:rPr>
          <w:rFonts w:ascii="Arial" w:cs="Arial" w:eastAsia="Arial" w:hAnsi="Arial"/>
          <w:sz w:val="20"/>
          <w:szCs w:val="20"/>
        </w:rPr>
        <w:t xml:space="preserve">Inmovilizar fracturas con tablillas y vendas sin intentar acomodar el hueso.</w:t>
      </w:r>
    </w:p>
    <w:p>
      <w:pPr>
        <w:pStyle w:val="ListParagraph"/>
        <w:numPr>
          <w:ilvl w:val="0"/>
          <w:numId w:val="2"/>
        </w:numPr>
        <w:spacing w:after="50" w:before="0" w:line="276"/>
        <w:jc w:val="both"/>
      </w:pPr>
      <w:r>
        <w:rPr>
          <w:rFonts w:ascii="Arial" w:cs="Arial" w:eastAsia="Arial" w:hAnsi="Arial"/>
          <w:sz w:val="20"/>
          <w:szCs w:val="20"/>
        </w:rPr>
        <w:t xml:space="preserve">Abrigar a la persona en estado de shock y mantenerla acostada.</w:t>
      </w:r>
    </w:p>
    <w:p>
      <w:pPr>
        <w:keepNext/>
        <w:spacing w:after="60" w:before="120"/>
      </w:pPr>
      <w:r>
        <w:rPr>
          <w:rFonts w:ascii="Arial" w:cs="Arial" w:eastAsia="Arial" w:hAnsi="Arial"/>
          <w:b/>
          <w:bCs/>
          <w:sz w:val="20"/>
          <w:szCs w:val="20"/>
        </w:rPr>
        <w:t xml:space="preserve">➢ Lo que no se debe hacer</w:t>
      </w:r>
    </w:p>
    <w:p>
      <w:pPr>
        <w:pStyle w:val="ListParagraph"/>
        <w:numPr>
          <w:ilvl w:val="0"/>
          <w:numId w:val="2"/>
        </w:numPr>
        <w:spacing w:after="50" w:before="0" w:line="276"/>
        <w:jc w:val="both"/>
      </w:pPr>
      <w:r>
        <w:rPr>
          <w:rFonts w:ascii="Arial" w:cs="Arial" w:eastAsia="Arial" w:hAnsi="Arial"/>
          <w:sz w:val="20"/>
          <w:szCs w:val="20"/>
        </w:rPr>
        <w:t xml:space="preserve">Mover a la persona lesionada, salvo para alejarla del peligro.</w:t>
      </w:r>
    </w:p>
    <w:p>
      <w:pPr>
        <w:pStyle w:val="ListParagraph"/>
        <w:numPr>
          <w:ilvl w:val="0"/>
          <w:numId w:val="2"/>
        </w:numPr>
        <w:spacing w:after="50" w:before="0" w:line="276"/>
        <w:jc w:val="both"/>
      </w:pPr>
      <w:r>
        <w:rPr>
          <w:rFonts w:ascii="Arial" w:cs="Arial" w:eastAsia="Arial" w:hAnsi="Arial"/>
          <w:sz w:val="20"/>
          <w:szCs w:val="20"/>
        </w:rPr>
        <w:t xml:space="preserve">Retirar objetos incrustados en el cuerpo o en los ojos.</w:t>
      </w:r>
    </w:p>
    <w:p>
      <w:pPr>
        <w:pStyle w:val="ListParagraph"/>
        <w:numPr>
          <w:ilvl w:val="0"/>
          <w:numId w:val="2"/>
        </w:numPr>
        <w:spacing w:after="50" w:before="0" w:line="276"/>
        <w:jc w:val="both"/>
      </w:pPr>
      <w:r>
        <w:rPr>
          <w:rFonts w:ascii="Arial" w:cs="Arial" w:eastAsia="Arial" w:hAnsi="Arial"/>
          <w:sz w:val="20"/>
          <w:szCs w:val="20"/>
        </w:rPr>
        <w:t xml:space="preserve">Dar de beber a una persona inconsciente o herida.</w:t>
      </w:r>
    </w:p>
    <w:p>
      <w:pPr>
        <w:keepNext/>
        <w:spacing w:after="80" w:before="160"/>
      </w:pPr>
      <w:r>
        <w:rPr>
          <w:rFonts w:ascii="Arial" w:cs="Arial" w:eastAsia="Arial" w:hAnsi="Arial"/>
          <w:b/>
          <w:bCs/>
          <w:color w:val="0D5C46"/>
          <w:sz w:val="20"/>
          <w:szCs w:val="20"/>
        </w:rPr>
        <w:t xml:space="preserve">10.5. Electrocución (contacto eléctrico)</w:t>
      </w:r>
    </w:p>
    <w:p>
      <w:pPr>
        <w:pStyle w:val="ListParagraph"/>
        <w:numPr>
          <w:ilvl w:val="0"/>
          <w:numId w:val="2"/>
        </w:numPr>
        <w:spacing w:after="50" w:before="0" w:line="276"/>
        <w:jc w:val="both"/>
      </w:pPr>
      <w:r>
        <w:rPr>
          <w:rFonts w:ascii="Arial" w:cs="Arial" w:eastAsia="Arial" w:hAnsi="Arial"/>
          <w:sz w:val="20"/>
          <w:szCs w:val="20"/>
        </w:rPr>
        <w:t xml:space="preserve">No tocar a la víctima mientras siga en contacto con la corriente.</w:t>
      </w:r>
    </w:p>
    <w:p>
      <w:pPr>
        <w:pStyle w:val="ListParagraph"/>
        <w:numPr>
          <w:ilvl w:val="0"/>
          <w:numId w:val="2"/>
        </w:numPr>
        <w:spacing w:after="50" w:before="0" w:line="276"/>
        <w:jc w:val="both"/>
      </w:pPr>
      <w:r>
        <w:rPr>
          <w:rFonts w:ascii="Arial" w:cs="Arial" w:eastAsia="Arial" w:hAnsi="Arial"/>
          <w:sz w:val="20"/>
          <w:szCs w:val="20"/>
        </w:rPr>
        <w:t xml:space="preserve">Cortar la energía desde el interruptor o tablero; si no es posible, separarla con un elemento aislante y seco (madera, pértiga, plástico).</w:t>
      </w:r>
    </w:p>
    <w:p>
      <w:pPr>
        <w:pStyle w:val="ListParagraph"/>
        <w:numPr>
          <w:ilvl w:val="0"/>
          <w:numId w:val="2"/>
        </w:numPr>
        <w:spacing w:after="50" w:before="0" w:line="276"/>
        <w:jc w:val="both"/>
      </w:pPr>
      <w:r>
        <w:rPr>
          <w:rFonts w:ascii="Arial" w:cs="Arial" w:eastAsia="Arial" w:hAnsi="Arial"/>
          <w:sz w:val="20"/>
          <w:szCs w:val="20"/>
        </w:rPr>
        <w:t xml:space="preserve">Verificar respiración y pulso; si no respira, iniciar RCP y llamar a SAMU (106).</w:t>
      </w:r>
    </w:p>
    <w:p>
      <w:pPr>
        <w:pStyle w:val="ListParagraph"/>
        <w:numPr>
          <w:ilvl w:val="0"/>
          <w:numId w:val="2"/>
        </w:numPr>
        <w:spacing w:after="50" w:before="0" w:line="276"/>
        <w:jc w:val="both"/>
      </w:pPr>
      <w:r>
        <w:rPr>
          <w:rFonts w:ascii="Arial" w:cs="Arial" w:eastAsia="Arial" w:hAnsi="Arial"/>
          <w:sz w:val="20"/>
          <w:szCs w:val="20"/>
        </w:rPr>
        <w:t xml:space="preserve">Toda persona que sufrió una descarga debe ser evaluada en un centro médico, aunque se sienta bien.</w:t>
      </w:r>
    </w:p>
    <w:p>
      <w:pPr>
        <w:keepNext/>
        <w:spacing w:after="80" w:before="160"/>
      </w:pPr>
      <w:r>
        <w:rPr>
          <w:rFonts w:ascii="Arial" w:cs="Arial" w:eastAsia="Arial" w:hAnsi="Arial"/>
          <w:b/>
          <w:bCs/>
          <w:color w:val="0D5C46"/>
          <w:sz w:val="20"/>
          <w:szCs w:val="20"/>
        </w:rPr>
        <w:t xml:space="preserve">10.6. Quemaduras por arco eléctrico</w:t>
      </w:r>
    </w:p>
    <w:p>
      <w:pPr>
        <w:pStyle w:val="ListParagraph"/>
        <w:numPr>
          <w:ilvl w:val="0"/>
          <w:numId w:val="2"/>
        </w:numPr>
        <w:spacing w:after="50" w:before="0" w:line="276"/>
        <w:jc w:val="both"/>
      </w:pPr>
      <w:r>
        <w:rPr>
          <w:rFonts w:ascii="Arial" w:cs="Arial" w:eastAsia="Arial" w:hAnsi="Arial"/>
          <w:sz w:val="20"/>
          <w:szCs w:val="20"/>
        </w:rPr>
        <w:t xml:space="preserve">Enfriar con agua limpia durante 10 a 20 minutos, sin aplicar cremas, aceite ni hielo.</w:t>
      </w:r>
    </w:p>
    <w:p>
      <w:pPr>
        <w:pStyle w:val="ListParagraph"/>
        <w:numPr>
          <w:ilvl w:val="0"/>
          <w:numId w:val="2"/>
        </w:numPr>
        <w:spacing w:after="50" w:before="0" w:line="276"/>
        <w:jc w:val="both"/>
      </w:pPr>
      <w:r>
        <w:rPr>
          <w:rFonts w:ascii="Arial" w:cs="Arial" w:eastAsia="Arial" w:hAnsi="Arial"/>
          <w:sz w:val="20"/>
          <w:szCs w:val="20"/>
        </w:rPr>
        <w:t xml:space="preserve">No retirar la ropa adherida a la piel; cubrir con gasa limpia y trasladar de inmediato al centro médico.</w:t>
      </w:r>
    </w:p>
    <w:p>
      <w:pPr>
        <w:keepNext/>
        <w:spacing w:after="80" w:before="160"/>
      </w:pPr>
      <w:r>
        <w:rPr>
          <w:rFonts w:ascii="Arial" w:cs="Arial" w:eastAsia="Arial" w:hAnsi="Arial"/>
          <w:b/>
          <w:bCs/>
          <w:color w:val="0D5C46"/>
          <w:sz w:val="20"/>
          <w:szCs w:val="20"/>
        </w:rPr>
        <w:t xml:space="preserve">10.7. Incendio en tableros o instalaciones eléctricas</w:t>
      </w:r>
    </w:p>
    <w:p>
      <w:pPr>
        <w:pStyle w:val="ListParagraph"/>
        <w:numPr>
          <w:ilvl w:val="0"/>
          <w:numId w:val="2"/>
        </w:numPr>
        <w:spacing w:after="50" w:before="0" w:line="276"/>
        <w:jc w:val="both"/>
      </w:pPr>
      <w:r>
        <w:rPr>
          <w:rFonts w:ascii="Arial" w:cs="Arial" w:eastAsia="Arial" w:hAnsi="Arial"/>
          <w:sz w:val="20"/>
          <w:szCs w:val="20"/>
        </w:rPr>
        <w:t xml:space="preserve">Cortar la energía antes de combatir el fuego.</w:t>
      </w:r>
    </w:p>
    <w:p>
      <w:pPr>
        <w:pStyle w:val="ListParagraph"/>
        <w:numPr>
          <w:ilvl w:val="0"/>
          <w:numId w:val="2"/>
        </w:numPr>
        <w:spacing w:after="50" w:before="0" w:line="276"/>
        <w:jc w:val="both"/>
      </w:pPr>
      <w:r>
        <w:rPr>
          <w:rFonts w:ascii="Arial" w:cs="Arial" w:eastAsia="Arial" w:hAnsi="Arial"/>
          <w:sz w:val="20"/>
          <w:szCs w:val="20"/>
        </w:rPr>
        <w:t xml:space="preserve">Usar solo extintor de CO2 o PQS; nunca agua.</w:t>
      </w:r>
    </w:p>
    <w:p>
      <w:pPr>
        <w:pStyle w:val="ListParagraph"/>
        <w:numPr>
          <w:ilvl w:val="0"/>
          <w:numId w:val="2"/>
        </w:numPr>
        <w:spacing w:after="50" w:before="0" w:line="276"/>
        <w:jc w:val="both"/>
      </w:pPr>
      <w:r>
        <w:rPr>
          <w:rFonts w:ascii="Arial" w:cs="Arial" w:eastAsia="Arial" w:hAnsi="Arial"/>
          <w:sz w:val="20"/>
          <w:szCs w:val="20"/>
        </w:rPr>
        <w:t xml:space="preserve">Si el fuego involucra el tablero general o se propaga, evacuar y llamar a bomberos (116).</w:t>
      </w:r>
    </w:p>
    <w:p>
      <w:pPr>
        <w:keepNext/>
        <w:spacing w:after="80" w:before="160"/>
      </w:pPr>
      <w:r>
        <w:rPr>
          <w:rFonts w:ascii="Arial" w:cs="Arial" w:eastAsia="Arial" w:hAnsi="Arial"/>
          <w:b/>
          <w:bCs/>
          <w:color w:val="0D5C46"/>
          <w:sz w:val="20"/>
          <w:szCs w:val="20"/>
        </w:rPr>
        <w:t xml:space="preserve">10.8. Rescate de un trabajador accidentado en altura</w:t>
      </w:r>
    </w:p>
    <w:p>
      <w:pPr>
        <w:pStyle w:val="ListParagraph"/>
        <w:numPr>
          <w:ilvl w:val="0"/>
          <w:numId w:val="2"/>
        </w:numPr>
        <w:spacing w:after="50" w:before="0" w:line="276"/>
        <w:jc w:val="both"/>
      </w:pPr>
      <w:r>
        <w:rPr>
          <w:rFonts w:ascii="Arial" w:cs="Arial" w:eastAsia="Arial" w:hAnsi="Arial"/>
          <w:sz w:val="20"/>
          <w:szCs w:val="20"/>
        </w:rPr>
        <w:t xml:space="preserve">Comunicar de inmediato al jefe de emergencia y a la brigada del contratista principal.</w:t>
      </w:r>
    </w:p>
    <w:p>
      <w:pPr>
        <w:pStyle w:val="ListParagraph"/>
        <w:numPr>
          <w:ilvl w:val="0"/>
          <w:numId w:val="2"/>
        </w:numPr>
        <w:spacing w:after="50" w:before="0" w:line="276"/>
        <w:jc w:val="both"/>
      </w:pPr>
      <w:r>
        <w:rPr>
          <w:rFonts w:ascii="Arial" w:cs="Arial" w:eastAsia="Arial" w:hAnsi="Arial"/>
          <w:sz w:val="20"/>
          <w:szCs w:val="20"/>
        </w:rPr>
        <w:t xml:space="preserve">Tranquilizar al accidentado suspendido en el arnés; el rescate se hace en el menor tiempo posible (máximo 15 minutos) para evitar el síndrome del arnés.</w:t>
      </w:r>
    </w:p>
    <w:p>
      <w:pPr>
        <w:pStyle w:val="ListParagraph"/>
        <w:numPr>
          <w:ilvl w:val="0"/>
          <w:numId w:val="2"/>
        </w:numPr>
        <w:spacing w:after="50" w:before="0" w:line="276"/>
        <w:jc w:val="both"/>
      </w:pPr>
      <w:r>
        <w:rPr>
          <w:rFonts w:ascii="Arial" w:cs="Arial" w:eastAsia="Arial" w:hAnsi="Arial"/>
          <w:sz w:val="20"/>
          <w:szCs w:val="20"/>
        </w:rPr>
        <w:t xml:space="preserve">Si no es posible un rescate seguro, esperar a los bomberos (116); en el piso se brindan primeros auxilios y se traslada al centro médico.</w:t>
      </w:r>
    </w:p>
    <w:p>
      <w:pPr>
        <w:keepNext/>
        <w:spacing w:after="80" w:before="160"/>
      </w:pPr>
      <w:r>
        <w:rPr>
          <w:rFonts w:ascii="Arial" w:cs="Arial" w:eastAsia="Arial" w:hAnsi="Arial"/>
          <w:b/>
          <w:bCs/>
          <w:color w:val="0D5C46"/>
          <w:sz w:val="20"/>
          <w:szCs w:val="20"/>
        </w:rPr>
        <w:t xml:space="preserve">10.9. Partículas en el ojo y golpes en la cabeza</w:t>
      </w:r>
    </w:p>
    <w:p>
      <w:pPr>
        <w:pStyle w:val="ListParagraph"/>
        <w:numPr>
          <w:ilvl w:val="0"/>
          <w:numId w:val="2"/>
        </w:numPr>
        <w:spacing w:after="50" w:before="0" w:line="276"/>
        <w:jc w:val="both"/>
      </w:pPr>
      <w:r>
        <w:rPr>
          <w:rFonts w:ascii="Arial" w:cs="Arial" w:eastAsia="Arial" w:hAnsi="Arial"/>
          <w:sz w:val="20"/>
          <w:szCs w:val="20"/>
        </w:rPr>
        <w:t xml:space="preserve">Partícula en el ojo: no frotar; cubrir el ojo con gasa sin presionar y trasladar al centro médico.</w:t>
      </w:r>
    </w:p>
    <w:p>
      <w:pPr>
        <w:pStyle w:val="ListParagraph"/>
        <w:numPr>
          <w:ilvl w:val="0"/>
          <w:numId w:val="2"/>
        </w:numPr>
        <w:spacing w:after="50" w:before="0" w:line="276"/>
        <w:jc w:val="both"/>
      </w:pPr>
      <w:r>
        <w:rPr>
          <w:rFonts w:ascii="Arial" w:cs="Arial" w:eastAsia="Arial" w:hAnsi="Arial"/>
          <w:sz w:val="20"/>
          <w:szCs w:val="20"/>
        </w:rPr>
        <w:t xml:space="preserve">Golpe en la cabeza: evaluar la conciencia; si hay corte, presionar con gasa; trasladar siempre al centro médico para evaluación.</w:t>
      </w:r>
    </w:p>
    <w:p>
      <w:pPr>
        <w:keepNext/>
        <w:pBdr>
          <w:bottom w:val="single" w:color="0D5C46" w:sz="8" w:space="2"/>
        </w:pBdr>
        <w:spacing w:after="100" w:before="240"/>
      </w:pPr>
      <w:r>
        <w:rPr>
          <w:rFonts w:ascii="Arial" w:cs="Arial" w:eastAsia="Arial" w:hAnsi="Arial"/>
          <w:b/>
          <w:bCs/>
          <w:color w:val="0D5C46"/>
          <w:sz w:val="22"/>
          <w:szCs w:val="22"/>
        </w:rPr>
        <w:t xml:space="preserve">11. AVISO Y REPORTE DE ACCIDENTES</w:t>
      </w:r>
    </w:p>
    <w:p>
      <w:pPr>
        <w:keepNext/>
        <w:spacing w:after="80" w:before="160"/>
      </w:pPr>
      <w:r>
        <w:rPr>
          <w:rFonts w:ascii="Arial" w:cs="Arial" w:eastAsia="Arial" w:hAnsi="Arial"/>
          <w:b/>
          <w:bCs/>
          <w:color w:val="0D5C46"/>
          <w:sz w:val="20"/>
          <w:szCs w:val="20"/>
        </w:rPr>
        <w:t xml:space="preserve">11.1. Interno (empresa)</w:t>
      </w:r>
    </w:p>
    <w:p>
      <w:pPr>
        <w:pStyle w:val="ListParagraph"/>
        <w:numPr>
          <w:ilvl w:val="0"/>
          <w:numId w:val="2"/>
        </w:numPr>
        <w:spacing w:after="50" w:before="0" w:line="276"/>
        <w:jc w:val="both"/>
      </w:pPr>
      <w:r>
        <w:rPr>
          <w:rFonts w:ascii="Arial" w:cs="Arial" w:eastAsia="Arial" w:hAnsi="Arial"/>
          <w:sz w:val="20"/>
          <w:szCs w:val="20"/>
        </w:rPr>
        <w:t xml:space="preserve">El accidentado o los testigos comunican al responsable de obra, quien informa de inmediato al Gerente General.</w:t>
      </w:r>
    </w:p>
    <w:p>
      <w:pPr>
        <w:keepNext/>
        <w:spacing w:after="80" w:before="160"/>
      </w:pPr>
      <w:r>
        <w:rPr>
          <w:rFonts w:ascii="Arial" w:cs="Arial" w:eastAsia="Arial" w:hAnsi="Arial"/>
          <w:b/>
          <w:bCs/>
          <w:color w:val="0D5C46"/>
          <w:sz w:val="20"/>
          <w:szCs w:val="20"/>
        </w:rPr>
        <w:t xml:space="preserve">11.2. Externo (contratista principal / cliente)</w:t>
      </w:r>
    </w:p>
    <w:p>
      <w:pPr>
        <w:pStyle w:val="ListParagraph"/>
        <w:numPr>
          <w:ilvl w:val="0"/>
          <w:numId w:val="2"/>
        </w:numPr>
        <w:spacing w:after="50" w:before="0" w:line="276"/>
        <w:jc w:val="both"/>
      </w:pPr>
      <w:r>
        <w:rPr>
          <w:rFonts w:ascii="Arial" w:cs="Arial" w:eastAsia="Arial" w:hAnsi="Arial"/>
          <w:sz w:val="20"/>
          <w:szCs w:val="20"/>
        </w:rPr>
        <w:t xml:space="preserve">El responsable de obra comunica el evento al área SSOMA y al residente del contratista principal de inmediato.</w:t>
      </w:r>
    </w:p>
    <w:p>
      <w:pPr>
        <w:keepNext/>
        <w:pBdr>
          <w:bottom w:val="single" w:color="0D5C46" w:sz="8" w:space="2"/>
        </w:pBdr>
        <w:spacing w:after="100" w:before="240"/>
      </w:pPr>
      <w:r>
        <w:rPr>
          <w:rFonts w:ascii="Arial" w:cs="Arial" w:eastAsia="Arial" w:hAnsi="Arial"/>
          <w:b/>
          <w:bCs/>
          <w:color w:val="0D5C46"/>
          <w:sz w:val="22"/>
          <w:szCs w:val="22"/>
        </w:rPr>
        <w:t xml:space="preserve">12. NOTIFICACIÓN E INVESTIGACIÓN</w:t>
      </w:r>
    </w:p>
    <w:p>
      <w:pPr>
        <w:pStyle w:val="ListParagraph"/>
        <w:numPr>
          <w:ilvl w:val="0"/>
          <w:numId w:val="2"/>
        </w:numPr>
        <w:spacing w:after="50" w:before="0" w:line="276"/>
        <w:jc w:val="both"/>
      </w:pPr>
      <w:r>
        <w:rPr>
          <w:rFonts w:ascii="Arial" w:cs="Arial" w:eastAsia="Arial" w:hAnsi="Arial"/>
          <w:sz w:val="20"/>
          <w:szCs w:val="20"/>
        </w:rPr>
        <w:t xml:space="preserve">Se registra el evento en el registro de accidentes e incidentes, que se conserva por 10 años.</w:t>
      </w:r>
    </w:p>
    <w:p>
      <w:pPr>
        <w:pStyle w:val="ListParagraph"/>
        <w:numPr>
          <w:ilvl w:val="0"/>
          <w:numId w:val="2"/>
        </w:numPr>
        <w:spacing w:after="50" w:before="0" w:line="276"/>
        <w:jc w:val="both"/>
      </w:pPr>
      <w:r>
        <w:rPr>
          <w:rFonts w:ascii="Arial" w:cs="Arial" w:eastAsia="Arial" w:hAnsi="Arial"/>
          <w:sz w:val="20"/>
          <w:szCs w:val="20"/>
        </w:rPr>
        <w:t xml:space="preserve">Se elabora un reporte preliminar dentro de las 24 horas y luego el informe de investigación con medidas correctivas.</w:t>
      </w:r>
    </w:p>
    <w:p>
      <w:pPr>
        <w:pStyle w:val="ListParagraph"/>
        <w:numPr>
          <w:ilvl w:val="0"/>
          <w:numId w:val="2"/>
        </w:numPr>
        <w:spacing w:after="50" w:before="0" w:line="276"/>
        <w:jc w:val="both"/>
      </w:pPr>
      <w:r>
        <w:rPr>
          <w:rFonts w:ascii="Arial" w:cs="Arial" w:eastAsia="Arial" w:hAnsi="Arial"/>
          <w:sz w:val="20"/>
          <w:szCs w:val="20"/>
        </w:rPr>
        <w:t xml:space="preserve">Accidentes mortales e incidentes peligrosos se notifican al Ministerio de Trabajo (MTPE) en un plazo máximo de 24 horas; los accidentes no mortales los notifica el centro médico que atiende al trabajador.</w:t>
      </w:r>
    </w:p>
    <w:p>
      <w:pPr>
        <w:keepNext/>
        <w:pBdr>
          <w:bottom w:val="single" w:color="0D5C46" w:sz="8" w:space="2"/>
        </w:pBdr>
        <w:spacing w:after="100" w:before="240"/>
      </w:pPr>
      <w:r>
        <w:rPr>
          <w:rFonts w:ascii="Arial" w:cs="Arial" w:eastAsia="Arial" w:hAnsi="Arial"/>
          <w:b/>
          <w:bCs/>
          <w:color w:val="0D5C46"/>
          <w:sz w:val="22"/>
          <w:szCs w:val="22"/>
        </w:rPr>
        <w:t xml:space="preserve">13. SEGUIMIENTO</w:t>
      </w:r>
    </w:p>
    <w:p>
      <w:pPr>
        <w:spacing w:after="100" w:before="0" w:line="276"/>
        <w:jc w:val="both"/>
      </w:pPr>
      <w:r>
        <w:rPr>
          <w:rFonts w:ascii="Arial" w:cs="Arial" w:eastAsia="Arial" w:hAnsi="Arial"/>
          <w:sz w:val="20"/>
          <w:szCs w:val="20"/>
        </w:rPr>
        <w:t xml:space="preserve">Después de un accidente o incidente se hará seguimiento al estado de salud del trabajador, se verificará el cumplimiento de las recomendaciones médicas, se evaluará la eficacia de las medidas correctivas y se actualizarán los procedimientos cuando sea necesario.</w:t>
      </w:r>
    </w:p>
    <w:p>
      <w:pPr>
        <w:keepNext/>
        <w:pBdr>
          <w:bottom w:val="single" w:color="0D5C46" w:sz="8" w:space="2"/>
        </w:pBdr>
        <w:spacing w:after="100" w:before="240"/>
      </w:pPr>
      <w:r>
        <w:rPr>
          <w:rFonts w:ascii="Arial" w:cs="Arial" w:eastAsia="Arial" w:hAnsi="Arial"/>
          <w:b/>
          <w:bCs/>
          <w:color w:val="0D5C46"/>
          <w:sz w:val="22"/>
          <w:szCs w:val="22"/>
        </w:rPr>
        <w:t xml:space="preserve">14. ANEXOS</w:t>
      </w:r>
    </w:p>
    <w:p>
      <w:pPr>
        <w:keepNext/>
        <w:spacing w:after="80" w:before="160"/>
      </w:pPr>
      <w:r>
        <w:rPr>
          <w:rFonts w:ascii="Arial" w:cs="Arial" w:eastAsia="Arial" w:hAnsi="Arial"/>
          <w:b/>
          <w:bCs/>
          <w:color w:val="0D5C46"/>
          <w:sz w:val="20"/>
          <w:szCs w:val="20"/>
        </w:rPr>
        <w:t xml:space="preserve">Anexo 1: Flujograma de atención de accidentes</w:t>
      </w:r>
    </w:p>
    <w:p>
      <w:pPr>
        <w:spacing w:after="40" w:before="0" w:line="276"/>
        <w:jc w:val="both"/>
      </w:pPr>
      <w:r>
        <w:rPr>
          <w:rFonts w:ascii="Arial" w:cs="Arial" w:eastAsia="Arial" w:hAnsi="Arial"/>
          <w:sz w:val="20"/>
          <w:szCs w:val="20"/>
        </w:rPr>
        <w:t xml:space="preserve">1. Ocurre el accidente → detener el trabajo y asegurar el área.</w:t>
      </w:r>
    </w:p>
    <w:p>
      <w:pPr>
        <w:spacing w:after="40" w:before="0" w:line="276"/>
        <w:jc w:val="both"/>
      </w:pPr>
      <w:r>
        <w:rPr>
          <w:rFonts w:ascii="Arial" w:cs="Arial" w:eastAsia="Arial" w:hAnsi="Arial"/>
          <w:sz w:val="20"/>
          <w:szCs w:val="20"/>
        </w:rPr>
        <w:t xml:space="preserve">2. Dar la alarma y avisar al brigadista y al responsable de obra.</w:t>
      </w:r>
    </w:p>
    <w:p>
      <w:pPr>
        <w:spacing w:after="40" w:before="0" w:line="276"/>
        <w:jc w:val="both"/>
      </w:pPr>
      <w:r>
        <w:rPr>
          <w:rFonts w:ascii="Arial" w:cs="Arial" w:eastAsia="Arial" w:hAnsi="Arial"/>
          <w:sz w:val="20"/>
          <w:szCs w:val="20"/>
        </w:rPr>
        <w:t xml:space="preserve">3. Brindar primeros auxilios.</w:t>
      </w:r>
    </w:p>
    <w:p>
      <w:pPr>
        <w:spacing w:after="40" w:before="0" w:line="276"/>
        <w:jc w:val="both"/>
      </w:pPr>
      <w:r>
        <w:rPr>
          <w:rFonts w:ascii="Arial" w:cs="Arial" w:eastAsia="Arial" w:hAnsi="Arial"/>
          <w:sz w:val="20"/>
          <w:szCs w:val="20"/>
        </w:rPr>
        <w:t xml:space="preserve">4. ¿Es grave? Sí → llamar a SAMU 106 / bomberos 116. No → llamar a La Positiva (01) 211-0211 y trasladar a clínica de su red SCTR.</w:t>
      </w:r>
    </w:p>
    <w:p>
      <w:pPr>
        <w:spacing w:after="40" w:before="0" w:line="276"/>
        <w:jc w:val="both"/>
      </w:pPr>
      <w:r>
        <w:rPr>
          <w:rFonts w:ascii="Arial" w:cs="Arial" w:eastAsia="Arial" w:hAnsi="Arial"/>
          <w:sz w:val="20"/>
          <w:szCs w:val="20"/>
        </w:rPr>
        <w:t xml:space="preserve">5. Informar al Gerente General y al SSOMA del contratista principal.</w:t>
      </w:r>
    </w:p>
    <w:p>
      <w:pPr>
        <w:spacing w:after="40" w:before="0" w:line="276"/>
        <w:jc w:val="both"/>
      </w:pPr>
      <w:r>
        <w:rPr>
          <w:rFonts w:ascii="Arial" w:cs="Arial" w:eastAsia="Arial" w:hAnsi="Arial"/>
          <w:sz w:val="20"/>
          <w:szCs w:val="20"/>
        </w:rPr>
        <w:t xml:space="preserve">6. Reporte preliminar (24 h) e investigación.</w:t>
      </w:r>
    </w:p>
    <w:p>
      <w:pPr>
        <w:spacing w:after="40" w:before="0" w:line="276"/>
        <w:jc w:val="both"/>
      </w:pPr>
      <w:r>
        <w:rPr>
          <w:rFonts w:ascii="Arial" w:cs="Arial" w:eastAsia="Arial" w:hAnsi="Arial"/>
          <w:sz w:val="20"/>
          <w:szCs w:val="20"/>
        </w:rPr>
        <w:t xml:space="preserve">7. Seguimiento y medidas correctivas.</w:t>
      </w:r>
    </w:p>
    <w:p>
      <w:pPr>
        <w:keepNext/>
        <w:spacing w:after="80" w:before="160"/>
      </w:pPr>
      <w:r>
        <w:rPr>
          <w:rFonts w:ascii="Arial" w:cs="Arial" w:eastAsia="Arial" w:hAnsi="Arial"/>
          <w:b/>
          <w:bCs/>
          <w:color w:val="0D5C46"/>
          <w:sz w:val="20"/>
          <w:szCs w:val="20"/>
        </w:rPr>
        <w:t xml:space="preserve">Anexo 2: Teléfonos de emergencia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3"/>
        <w:gridCol w:w="3855"/>
      </w:tblGrid>
      <w:tr>
        <w:trPr>
          <w:cantSplit/>
          <w:tblHeader/>
        </w:trPr>
        <w:tc>
          <w:tcPr>
            <w:tcW w:type="dxa" w:w="5783"/>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ENTIDAD / SERVICIO</w:t>
            </w:r>
          </w:p>
        </w:tc>
        <w:tc>
          <w:tcPr>
            <w:tcW w:type="dxa" w:w="3855"/>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Central de Bomberos</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116</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Policía Nacional (Central de emergencias)</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105</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SAMU – Atención médica de urgencia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106</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INDECI – Defensa Civil</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115</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La Positiva – Emergencias SCTR</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(01) 211-0211</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Serenazgo del distrito de la obra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________________</w:t>
            </w:r>
          </w:p>
        </w:tc>
      </w:tr>
      <w:tr>
        <w:trPr>
          <w:cantSplit/>
          <w:tblHeader w:val="false"/>
        </w:trPr>
        <w:tc>
          <w:tcPr>
            <w:tcW w:type="dxa" w:w="5783"/>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Comisaría más cercana a la obra</w:t>
            </w:r>
          </w:p>
        </w:tc>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sz w:val="17"/>
                <w:szCs w:val="17"/>
              </w:rPr>
              <w:t xml:space="preserve">________________</w:t>
            </w:r>
          </w:p>
        </w:tc>
      </w:tr>
    </w:tbl>
    <w:p>
      <w:pPr>
        <w:keepNext/>
        <w:spacing w:after="80" w:before="160"/>
      </w:pPr>
      <w:r>
        <w:rPr>
          <w:rFonts w:ascii="Arial" w:cs="Arial" w:eastAsia="Arial" w:hAnsi="Arial"/>
          <w:b/>
          <w:bCs/>
          <w:color w:val="0D5C46"/>
          <w:sz w:val="20"/>
          <w:szCs w:val="20"/>
        </w:rPr>
        <w:t xml:space="preserve">b) Contactos internos de emergencia – CASA BONITA OREGÓN S.A.C.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2891"/>
        <w:gridCol w:w="2892"/>
      </w:tblGrid>
      <w:tr>
        <w:trPr>
          <w:cantSplit/>
          <w:tblHeader/>
        </w:trPr>
        <w:tc>
          <w:tcPr>
            <w:tcW w:type="dxa" w:w="3855"/>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RESPONSABLE</w:t>
            </w:r>
          </w:p>
        </w:tc>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CARGO</w:t>
            </w:r>
          </w:p>
        </w:tc>
        <w:tc>
          <w:tcPr>
            <w:tcW w:type="dxa" w:w="2892"/>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Jesús Donato Villar Bendezú</w:t>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Gerente General</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922 732 329</w:t>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r>
        <w:trPr>
          <w:cantSplit/>
          <w:tblHeader w:val="false"/>
        </w:trPr>
        <w:tc>
          <w:tcPr>
            <w:tcW w:type="dxa" w:w="3855"/>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
            </w:r>
          </w:p>
        </w:tc>
      </w:tr>
    </w:tbl>
    <w:p>
      <w:pPr>
        <w:spacing w:after="100" w:before="60" w:line="276"/>
        <w:jc w:val="both"/>
      </w:pPr>
      <w:r>
        <w:rPr>
          <w:rFonts w:ascii="Arial" w:cs="Arial" w:eastAsia="Arial" w:hAnsi="Arial"/>
          <w:i/>
          <w:iCs/>
          <w:sz w:val="17"/>
          <w:szCs w:val="17"/>
        </w:rPr>
        <w:t xml:space="preserve">Nota: este directorio debe mantenerse actualizado y colocarse en el área de trabajo y en el punto de reunión de la obra.</w:t>
      </w:r>
    </w:p>
    <w:p>
      <w:pPr>
        <w:keepNext/>
        <w:spacing w:after="80" w:before="160"/>
      </w:pPr>
      <w:r>
        <w:rPr>
          <w:rFonts w:ascii="Arial" w:cs="Arial" w:eastAsia="Arial" w:hAnsi="Arial"/>
          <w:b/>
          <w:bCs/>
          <w:color w:val="0D5C46"/>
          <w:sz w:val="20"/>
          <w:szCs w:val="20"/>
        </w:rPr>
        <w:t xml:space="preserve">Anexo 3: Clínicas de la red SCTR Salud – La Positiva Seguros (Lima)</w:t>
      </w:r>
    </w:p>
    <w:p>
      <w:pPr>
        <w:spacing w:after="100" w:before="0" w:line="276"/>
        <w:jc w:val="both"/>
      </w:pPr>
      <w:r>
        <w:rPr>
          <w:rFonts w:ascii="Arial" w:cs="Arial" w:eastAsia="Arial" w:hAnsi="Arial"/>
          <w:i/>
          <w:iCs/>
          <w:sz w:val="17"/>
          <w:szCs w:val="17"/>
        </w:rPr>
        <w:t xml:space="preserve">Fuente: Red de Proveedores SCTR Salud – Producto Estándar de La Positiva. Los datos pueden variar; confirmar siempre con la Línea Positiva (01) 211-0211 antes del traslado.</w:t>
      </w:r>
    </w:p>
    <w:p>
      <w:pPr>
        <w:keepNext/>
        <w:spacing w:after="60" w:before="120"/>
      </w:pPr>
      <w:r>
        <w:rPr>
          <w:rFonts w:ascii="Arial" w:cs="Arial" w:eastAsia="Arial" w:hAnsi="Arial"/>
          <w:b/>
          <w:bCs/>
          <w:sz w:val="20"/>
          <w:szCs w:val="20"/>
        </w:rPr>
        <w:t xml:space="preserve">➢ Atención de emergencia, ambulatoria y hospitalización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Limatambo (SJL)</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Próceres de la Independencia N.° 2701, San Juan de Lurigancho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415-1600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Bautista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Los Próceres de la Independencia N.° 1764, San Juan de Lurigancho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610-4545</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Jesús del Norte</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Carlos E. Izaguirre N.° 149-153, Independencia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613-4444</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Montefiori</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Separadora Industrial N.° 1818-1820, La Molina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437-5151</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Internacional (San Borja)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Guardia Civil N.° 385,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619-6161</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Ricardo Palma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Javier Prado Este N.° 1066, San Isidro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224-2224</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Pablo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El Polo N.° 789, Santiago de Surco</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610-3333</w:t>
            </w:r>
          </w:p>
        </w:tc>
      </w:tr>
    </w:tbl>
    <w:p>
      <w:pPr>
        <w:keepNext/>
        <w:spacing w:after="60" w:before="120"/>
      </w:pPr>
      <w:r>
        <w:rPr>
          <w:rFonts w:ascii="Arial" w:cs="Arial" w:eastAsia="Arial" w:hAnsi="Arial"/>
          <w:b/>
          <w:bCs/>
          <w:sz w:val="20"/>
          <w:szCs w:val="20"/>
        </w:rPr>
        <w:t xml:space="preserve">➢ Clínicas especializadas en quemados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Vesalio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Joseph Thompson N.° 140,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618-9999</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Auna Guardia Civil</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Guardia Civil N.° 368,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513-7900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Stella Maris</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Paso de los Andes N.° 923,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463-6666</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Higuereta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Alfredo Benavides N.° 2949-2951, Miraflores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997 586 124</w:t>
            </w:r>
          </w:p>
        </w:tc>
      </w:tr>
    </w:tbl>
    <w:p>
      <w:pPr>
        <w:keepNext/>
        <w:spacing w:after="60" w:before="120"/>
      </w:pPr>
      <w:r>
        <w:rPr>
          <w:rFonts w:ascii="Arial" w:cs="Arial" w:eastAsia="Arial" w:hAnsi="Arial"/>
          <w:b/>
          <w:bCs/>
          <w:sz w:val="20"/>
          <w:szCs w:val="20"/>
        </w:rPr>
        <w:t xml:space="preserve">➢ Clínicas especializadas en politraumatizados severos (caídas de altura, aplastamientos)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048"/>
        <w:gridCol w:w="2699"/>
      </w:tblGrid>
      <w:tr>
        <w:trPr>
          <w:cantSplit/>
          <w:tblHeader/>
        </w:trPr>
        <w:tc>
          <w:tcPr>
            <w:tcW w:type="dxa" w:w="2891"/>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CLÍNICA</w:t>
            </w:r>
          </w:p>
        </w:tc>
        <w:tc>
          <w:tcPr>
            <w:tcW w:type="dxa" w:w="404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DIRECCIÓN</w:t>
            </w:r>
          </w:p>
        </w:tc>
        <w:tc>
          <w:tcPr>
            <w:tcW w:type="dxa" w:w="2699"/>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7"/>
                <w:szCs w:val="17"/>
              </w:rPr>
              <w:t xml:space="preserve">TELÉFONO</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Aviva – Sede Mendiola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Alfredo Mendiola N.° 6301, Los Olivos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715-4600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Juan de Dios (Lima)</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Nicolás Arriola N.° 3250, San Luis</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319-1400</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Vesalio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Joseph Thompson N.° 140, San Borja</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618-9999</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Centenario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Av. Paso de los Andes N.° 675,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218-1017</w:t>
            </w:r>
          </w:p>
        </w:tc>
      </w:tr>
      <w:tr>
        <w:trPr>
          <w:cantSplit/>
          <w:tblHeader w:val="false"/>
        </w:trPr>
        <w:tc>
          <w:tcPr>
            <w:tcW w:type="dxa" w:w="2891"/>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Clínica San Bernardo</w:t>
            </w:r>
          </w:p>
        </w:tc>
        <w:tc>
          <w:tcPr>
            <w:tcW w:type="dxa" w:w="404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Calle San José N.° 161, Pueblo Libre</w:t>
            </w:r>
          </w:p>
        </w:tc>
        <w:tc>
          <w:tcPr>
            <w:tcW w:type="dxa" w:w="2699"/>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7"/>
                <w:szCs w:val="17"/>
              </w:rPr>
              <w:t xml:space="preserve">(01) 460-0437</w:t>
            </w:r>
          </w:p>
        </w:tc>
      </w:tr>
    </w:tbl>
    <w:p>
      <w:pPr>
        <w:spacing w:after="100" w:before="80" w:line="276"/>
        <w:jc w:val="both"/>
      </w:pPr>
      <w:r>
        <w:rPr>
          <w:rFonts w:ascii="Arial" w:cs="Arial" w:eastAsia="Arial" w:hAnsi="Arial"/>
          <w:sz w:val="18"/>
          <w:szCs w:val="18"/>
        </w:rPr>
        <w:t xml:space="preserve">Para la atención se debe presentar la Solicitud de Atención Médica SCTR Salud de La Positiva, llenada y firmada por la empresa, junto con el DNI del trabajador.</w:t>
      </w:r>
    </w:p>
    <w:p>
      <w:pPr>
        <w:keepNext/>
        <w:spacing w:after="80" w:before="160"/>
      </w:pPr>
      <w:r>
        <w:rPr>
          <w:rFonts w:ascii="Arial" w:cs="Arial" w:eastAsia="Arial" w:hAnsi="Arial"/>
          <w:b/>
          <w:bCs/>
          <w:color w:val="0D5C46"/>
          <w:sz w:val="20"/>
          <w:szCs w:val="20"/>
        </w:rPr>
        <w:t xml:space="preserve">Anexo 4: Contenido mínimo del botiquín</w:t>
      </w:r>
    </w:p>
    <w:p>
      <w:pPr>
        <w:pStyle w:val="ListParagraph"/>
        <w:numPr>
          <w:ilvl w:val="0"/>
          <w:numId w:val="2"/>
        </w:numPr>
        <w:spacing w:after="50" w:before="0" w:line="276"/>
        <w:jc w:val="both"/>
      </w:pPr>
      <w:r>
        <w:rPr>
          <w:rFonts w:ascii="Arial" w:cs="Arial" w:eastAsia="Arial" w:hAnsi="Arial"/>
          <w:sz w:val="20"/>
          <w:szCs w:val="20"/>
        </w:rPr>
        <w:t xml:space="preserve">Gasas, apósitos y vendas elásticas</w:t>
      </w:r>
    </w:p>
    <w:p>
      <w:pPr>
        <w:pStyle w:val="ListParagraph"/>
        <w:numPr>
          <w:ilvl w:val="0"/>
          <w:numId w:val="2"/>
        </w:numPr>
        <w:spacing w:after="50" w:before="0" w:line="276"/>
        <w:jc w:val="both"/>
      </w:pPr>
      <w:r>
        <w:rPr>
          <w:rFonts w:ascii="Arial" w:cs="Arial" w:eastAsia="Arial" w:hAnsi="Arial"/>
          <w:sz w:val="20"/>
          <w:szCs w:val="20"/>
        </w:rPr>
        <w:t xml:space="preserve">Esparadrapo y curitas</w:t>
      </w:r>
    </w:p>
    <w:p>
      <w:pPr>
        <w:pStyle w:val="ListParagraph"/>
        <w:numPr>
          <w:ilvl w:val="0"/>
          <w:numId w:val="2"/>
        </w:numPr>
        <w:spacing w:after="50" w:before="0" w:line="276"/>
        <w:jc w:val="both"/>
      </w:pPr>
      <w:r>
        <w:rPr>
          <w:rFonts w:ascii="Arial" w:cs="Arial" w:eastAsia="Arial" w:hAnsi="Arial"/>
          <w:sz w:val="20"/>
          <w:szCs w:val="20"/>
        </w:rPr>
        <w:t xml:space="preserve">Alcohol, agua oxigenada y jabón antiséptico</w:t>
      </w:r>
    </w:p>
    <w:p>
      <w:pPr>
        <w:pStyle w:val="ListParagraph"/>
        <w:numPr>
          <w:ilvl w:val="0"/>
          <w:numId w:val="2"/>
        </w:numPr>
        <w:spacing w:after="50" w:before="0" w:line="276"/>
        <w:jc w:val="both"/>
      </w:pPr>
      <w:r>
        <w:rPr>
          <w:rFonts w:ascii="Arial" w:cs="Arial" w:eastAsia="Arial" w:hAnsi="Arial"/>
          <w:sz w:val="20"/>
          <w:szCs w:val="20"/>
        </w:rPr>
        <w:t xml:space="preserve">Suero fisiológico para lavado de ojos</w:t>
      </w:r>
    </w:p>
    <w:p>
      <w:pPr>
        <w:pStyle w:val="ListParagraph"/>
        <w:numPr>
          <w:ilvl w:val="0"/>
          <w:numId w:val="2"/>
        </w:numPr>
        <w:spacing w:after="50" w:before="0" w:line="276"/>
        <w:jc w:val="both"/>
      </w:pPr>
      <w:r>
        <w:rPr>
          <w:rFonts w:ascii="Arial" w:cs="Arial" w:eastAsia="Arial" w:hAnsi="Arial"/>
          <w:sz w:val="20"/>
          <w:szCs w:val="20"/>
        </w:rPr>
        <w:t xml:space="preserve">Guantes descartables</w:t>
      </w:r>
    </w:p>
    <w:p>
      <w:pPr>
        <w:pStyle w:val="ListParagraph"/>
        <w:numPr>
          <w:ilvl w:val="0"/>
          <w:numId w:val="2"/>
        </w:numPr>
        <w:spacing w:after="50" w:before="0" w:line="276"/>
        <w:jc w:val="both"/>
      </w:pPr>
      <w:r>
        <w:rPr>
          <w:rFonts w:ascii="Arial" w:cs="Arial" w:eastAsia="Arial" w:hAnsi="Arial"/>
          <w:sz w:val="20"/>
          <w:szCs w:val="20"/>
        </w:rPr>
        <w:t xml:space="preserve">Tijera, pinza y férulas o tablillas</w:t>
      </w:r>
    </w:p>
    <w:p>
      <w:pPr>
        <w:pStyle w:val="ListParagraph"/>
        <w:numPr>
          <w:ilvl w:val="0"/>
          <w:numId w:val="2"/>
        </w:numPr>
        <w:spacing w:after="50" w:before="0" w:line="276"/>
        <w:jc w:val="both"/>
      </w:pPr>
      <w:r>
        <w:rPr>
          <w:rFonts w:ascii="Arial" w:cs="Arial" w:eastAsia="Arial" w:hAnsi="Arial"/>
          <w:sz w:val="20"/>
          <w:szCs w:val="20"/>
        </w:rPr>
        <w:t xml:space="preserve">Gel o apósitos para quemaduras y mascarilla para RCP</w:t>
      </w:r>
    </w:p>
    <w:sectPr>
      <w:headerReference w:type="default" r:id="rId7"/>
      <w:footerReference w:type="default" r:id="rId8"/>
      <w:pgSz w:w="11906" w:h="16838" w:orient="portrait"/>
      <w:pgMar w:top="2150" w:right="1134" w:bottom="1100" w:left="1134"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center"/>
    </w:pPr>
    <w:r>
      <w:rPr>
        <w:rFonts w:ascii="Arial" w:cs="Arial" w:eastAsia="Arial" w:hAnsi="Arial"/>
        <w:color w:val="555555"/>
        <w:sz w:val="14"/>
        <w:szCs w:val="14"/>
      </w:rPr>
      <w:t xml:space="preserve">Este documento es propiedad de CASA BONITA OREGÓN S.A.C.. Prohibida su reproducción total o parcial sin autorización de la Gerencia General.</w:t>
    </w:r>
  </w:p>
  <w:p>
    <w:pPr>
      <w:spacing w:after="0" w:before="0" w:line="276"/>
      <w:jc w:val="center"/>
    </w:pPr>
    <w:r>
      <w:rPr>
        <w:rFonts w:ascii="Arial" w:cs="Arial" w:eastAsia="Arial" w:hAnsi="Arial"/>
        <w:color w:val="555555"/>
        <w:sz w:val="14"/>
        <w:szCs w:val="14"/>
      </w:rPr>
      <w:t xml:space="preserve">Las versiones impresas son copias “No controladas”.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108"/>
      <w:gridCol w:w="2892"/>
    </w:tblGrid>
    <w:tr>
      <w:trPr>
        <w:cantSplit/>
        <w:tblHeader/>
      </w:trPr>
      <w:tc>
        <w:tcPr>
          <w:tcW w:type="dxa" w:w="1638"/>
          <w:vMerge w:val="restart"/>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jc w:val="center"/>
          </w:pPr>
          <w:r>
            <w:drawing>
              <wp:inline distT="0" distB="0" distL="0" distR="0">
                <wp:extent cx="5715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457200"/>
                        </a:xfrm>
                        <a:prstGeom prst="rect">
                          <a:avLst/>
                        </a:prstGeom>
                      </pic:spPr>
                    </pic:pic>
                  </a:graphicData>
                </a:graphic>
              </wp:inline>
            </w:drawing>
          </w:r>
        </w:p>
      </w:tc>
      <w:tc>
        <w:tcPr>
          <w:tcW w:type="dxa" w:w="5108"/>
          <w:tcBorders>
            <w:top w:val="single" w:color="8FA89C" w:sz="4"/>
            <w:left w:val="single" w:color="8FA89C" w:sz="4"/>
            <w:bottom w:val="single" w:color="8FA89C" w:sz="4"/>
            <w:right w:val="single" w:color="8FA89C" w:sz="4"/>
          </w:tcBorders>
          <w:shd w:fill="0D5C46" w:color="auto" w:val="clear"/>
          <w:tcMar>
            <w:top w:type="dxa" w:w="40"/>
            <w:left w:type="dxa" w:w="80"/>
            <w:bottom w:type="dxa" w:w="40"/>
            <w:right w:type="dxa" w:w="80"/>
          </w:tcMar>
          <w:vAlign w:val="center"/>
        </w:tcPr>
        <w:p>
          <w:pPr>
            <w:spacing w:after="0" w:before="0" w:line="276"/>
            <w:jc w:val="center"/>
          </w:pPr>
          <w:r>
            <w:rPr>
              <w:rFonts w:ascii="Arial" w:cs="Arial" w:eastAsia="Arial" w:hAnsi="Arial"/>
              <w:b/>
              <w:bCs/>
              <w:color w:val="FFFFFF"/>
              <w:sz w:val="18"/>
              <w:szCs w:val="18"/>
            </w:rPr>
            <w:t xml:space="preserve">PLAN DE CONTINGENCIA ANTE EMERGENCIAS – ELECTRICIDAD</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4"/>
              <w:szCs w:val="14"/>
            </w:rPr>
            <w:t xml:space="preserve">Código: CBO-ELE-PC-01</w:t>
          </w:r>
        </w:p>
        <w:p>
          <w:pPr>
            <w:spacing w:after="0" w:before="0" w:line="276"/>
            <w:jc w:val="left"/>
          </w:pPr>
          <w:r>
            <w:rPr>
              <w:rFonts w:ascii="Arial" w:cs="Arial" w:eastAsia="Arial" w:hAnsi="Arial"/>
              <w:sz w:val="14"/>
              <w:szCs w:val="14"/>
            </w:rPr>
            <w:t xml:space="preserve">Versión: 01   Revisión: 00</w:t>
          </w:r>
        </w:p>
      </w:tc>
    </w:tr>
    <w:tr>
      <w:trPr>
        <w:cantSplit/>
        <w:tblHeader w:val="false"/>
      </w:trPr>
      <w:tc>
        <w:tcPr>
          <w:vMerge w:val="continue"/>
          <w:tcBorders>
            <w:top w:val="single" w:color="8FA89C" w:sz="4"/>
            <w:left w:val="single" w:color="8FA89C" w:sz="4"/>
            <w:bottom w:val="single" w:color="8FA89C" w:sz="4"/>
            <w:right w:val="single" w:color="8FA89C" w:sz="4"/>
          </w:tcBorders>
        </w:tcPr>
        <w:p/>
      </w:tc>
      <w:tc>
        <w:tcPr>
          <w:tcW w:type="dxa" w:w="5108"/>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center"/>
          </w:pPr>
          <w:r>
            <w:rPr>
              <w:rFonts w:ascii="Arial" w:cs="Arial" w:eastAsia="Arial" w:hAnsi="Arial"/>
              <w:b/>
              <w:bCs/>
              <w:color w:val="0D5C46"/>
              <w:sz w:val="16"/>
              <w:szCs w:val="16"/>
            </w:rPr>
            <w:t xml:space="preserve">CASA BONITA OREGÓN S.A.C.</w:t>
          </w:r>
        </w:p>
        <w:p>
          <w:pPr>
            <w:spacing w:after="0" w:before="0" w:line="276"/>
            <w:jc w:val="center"/>
          </w:pPr>
          <w:r>
            <w:rPr>
              <w:rFonts w:ascii="Arial" w:cs="Arial" w:eastAsia="Arial" w:hAnsi="Arial"/>
              <w:color w:val="555555"/>
              <w:sz w:val="14"/>
              <w:szCs w:val="14"/>
            </w:rPr>
            <w:t xml:space="preserve">RUC 20614484153</w:t>
          </w:r>
        </w:p>
      </w:tc>
      <w:tc>
        <w:tcPr>
          <w:tcW w:type="dxa" w:w="2892"/>
          <w:tcBorders>
            <w:top w:val="single" w:color="8FA89C" w:sz="4"/>
            <w:left w:val="single" w:color="8FA89C" w:sz="4"/>
            <w:bottom w:val="single" w:color="8FA89C" w:sz="4"/>
            <w:right w:val="single" w:color="8FA89C" w:sz="4"/>
          </w:tcBorders>
          <w:tcMar>
            <w:top w:type="dxa" w:w="40"/>
            <w:left w:type="dxa" w:w="80"/>
            <w:bottom w:type="dxa" w:w="40"/>
            <w:right w:type="dxa" w:w="80"/>
          </w:tcMar>
          <w:vAlign w:val="center"/>
        </w:tcPr>
        <w:p>
          <w:pPr>
            <w:spacing w:after="0" w:before="0" w:line="276"/>
            <w:jc w:val="left"/>
          </w:pPr>
          <w:r>
            <w:rPr>
              <w:rFonts w:ascii="Arial" w:cs="Arial" w:eastAsia="Arial" w:hAnsi="Arial"/>
              <w:sz w:val="14"/>
              <w:szCs w:val="14"/>
            </w:rPr>
            <w:t xml:space="preserve">Fecha de creación: 13/01/2026</w:t>
          </w:r>
        </w:p>
        <w:p>
          <w:pPr>
            <w:spacing w:after="0" w:before="0" w:line="276"/>
            <w:jc w:val="left"/>
          </w:pPr>
          <w:r>
            <w:rPr>
              <w:rFonts w:ascii="Arial" w:cs="Arial" w:eastAsia="Arial" w:hAnsi="Arial"/>
              <w:sz w:val="14"/>
              <w:szCs w:val="14"/>
            </w:rPr>
            <w:t xml:space="preserve">Elaborado: GG   Aprobado: GG</w:t>
          </w:r>
        </w:p>
        <w:p>
          <w:r>
            <w:rPr>
              <w:rFonts w:ascii="Arial" w:cs="Arial" w:eastAsia="Arial" w:hAnsi="Arial"/>
              <w:sz w:val="14"/>
              <w:szCs w:val="14"/>
            </w:rPr>
            <w:t xml:space="preserve">Página </w:t>
          </w:r>
          <w:r>
            <w:rPr>
              <w:rFonts w:ascii="Arial" w:cs="Arial" w:eastAsia="Arial" w:hAnsi="Arial"/>
              <w:sz w:val="14"/>
              <w:szCs w:val="14"/>
            </w:rPr>
            <w:fldChar w:fldCharType="begin"/>
            <w:instrText xml:space="preserve">PAGE</w:instrText>
            <w:fldChar w:fldCharType="separate"/>
            <w:fldChar w:fldCharType="end"/>
          </w:r>
          <w:r>
            <w:rPr>
              <w:rFonts w:ascii="Arial" w:cs="Arial" w:eastAsia="Arial" w:hAnsi="Arial"/>
              <w:sz w:val="14"/>
              <w:szCs w:val="14"/>
            </w:rPr>
            <w:t xml:space="preserve"> de </w:t>
          </w:r>
          <w:r>
            <w:rPr>
              <w:rFonts w:ascii="Arial" w:cs="Arial" w:eastAsia="Arial" w:hAnsi="Arial"/>
              <w:sz w:val="14"/>
              <w:szCs w:val="14"/>
            </w:rPr>
            <w:fldChar w:fldCharType="begin"/>
            <w:instrText xml:space="preserve">NUMPAGES</w:instrText>
            <w:fldChar w:fldCharType="separate"/>
            <w:fldChar w:fldCharType="end"/>
          </w:r>
        </w:p>
      </w:tc>
    </w:tr>
  </w:tbl>
  <w:p>
    <w:pPr>
      <w:spacing w:after="40" w:before="0" w:line="276"/>
      <w:jc w:val="both"/>
    </w:pPr>
    <w:r>
      <w:rPr>
        <w:rFonts w:ascii="Arial" w:cs="Arial" w:eastAsia="Arial" w:hAnsi="Arial"/>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522bf0fcff0b98f3ea3b3ceeef6a1c498472a8.png"/><Relationship Id="rId10" Type="http://schemas.openxmlformats.org/officeDocument/2006/relationships/image" Target="media/1e5ef0f4ce8b69fbb13495037c52c53d47806b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522bf0fcff0b98f3ea3b3ceeef6a1c498472a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2026-10-14T22:07:35.673Z</dcterms:created>
  <dcterms:modified xsi:type="dcterms:W3CDTF">2026-10-14T22:07:35.673Z</dcterms:modified>
</cp:coreProperties>
</file>

<file path=docProps/custom.xml><?xml version="1.0" encoding="utf-8"?>
<Properties xmlns="http://schemas.openxmlformats.org/officeDocument/2006/custom-properties" xmlns:vt="http://schemas.openxmlformats.org/officeDocument/2006/docPropsVTypes"/>
</file>