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6DBD" w14:textId="77777777" w:rsidR="00B03AA4" w:rsidRDefault="00B03AA4" w:rsidP="00B03AA4">
      <w:r>
        <w:rPr>
          <w:rFonts w:hint="eastAsia"/>
        </w:rPr>
        <w:t>易错</w:t>
      </w:r>
    </w:p>
    <w:p w14:paraId="7AC9AF64" w14:textId="77777777" w:rsidR="00B03AA4" w:rsidRPr="00A35B74" w:rsidRDefault="00B03AA4" w:rsidP="00B03AA4">
      <w:pPr>
        <w:pStyle w:val="a7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数据存储和数据流都是（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数据</w:t>
      </w:r>
      <w:r>
        <w:rPr>
          <w:rFonts w:ascii="幼圆" w:eastAsia="幼圆" w:hint="eastAsia"/>
          <w:color w:val="333333"/>
          <w:sz w:val="18"/>
          <w:szCs w:val="18"/>
        </w:rPr>
        <w:t>），仅仅是所处的状态不同。</w:t>
      </w:r>
    </w:p>
    <w:p w14:paraId="265A9753" w14:textId="77777777" w:rsidR="00B03AA4" w:rsidRPr="00A35B74" w:rsidRDefault="00B03AA4" w:rsidP="00B03AA4">
      <w:pPr>
        <w:pStyle w:val="a7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下列关于软件设计准则的描述，错误的是（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proofErr w:type="gramStart"/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使摸块</w:t>
      </w:r>
      <w:proofErr w:type="gramEnd"/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的作用域在该模块的控制域外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）。</w:t>
      </w:r>
    </w:p>
    <w:p w14:paraId="7C6C18B3" w14:textId="77777777" w:rsidR="00B03AA4" w:rsidRPr="00A35B74" w:rsidRDefault="00B03AA4" w:rsidP="00B03AA4">
      <w:pPr>
        <w:pStyle w:val="a7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面向数据流的软件设计方法中，一般是把数据流图中的数据流分为（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 xml:space="preserve">交换流和事务流 </w:t>
      </w:r>
      <w:r>
        <w:rPr>
          <w:rFonts w:ascii="幼圆" w:eastAsia="幼圆" w:hint="eastAsia"/>
          <w:color w:val="333333"/>
          <w:sz w:val="18"/>
          <w:szCs w:val="18"/>
        </w:rPr>
        <w:t>）两种流，再将数据流图映射为软件结构。</w:t>
      </w:r>
    </w:p>
    <w:p w14:paraId="59FC8B27" w14:textId="77777777" w:rsidR="00B03AA4" w:rsidRPr="00A35B74" w:rsidRDefault="00B03AA4" w:rsidP="00B03AA4">
      <w:pPr>
        <w:pStyle w:val="a7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面向数据流的设计方法把（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F4F4F4"/>
        </w:rPr>
        <w:t>信息流</w:t>
      </w:r>
      <w:r>
        <w:rPr>
          <w:rFonts w:ascii="幼圆" w:eastAsia="幼圆" w:hint="eastAsia"/>
          <w:color w:val="333333"/>
          <w:sz w:val="18"/>
          <w:szCs w:val="18"/>
        </w:rPr>
        <w:t>）映射</w:t>
      </w:r>
      <w:proofErr w:type="gramStart"/>
      <w:r>
        <w:rPr>
          <w:rFonts w:ascii="幼圆" w:eastAsia="幼圆" w:hint="eastAsia"/>
          <w:color w:val="333333"/>
          <w:sz w:val="18"/>
          <w:szCs w:val="18"/>
        </w:rPr>
        <w:t>成软件</w:t>
      </w:r>
      <w:proofErr w:type="gramEnd"/>
      <w:r>
        <w:rPr>
          <w:rFonts w:ascii="幼圆" w:eastAsia="幼圆" w:hint="eastAsia"/>
          <w:color w:val="333333"/>
          <w:sz w:val="18"/>
          <w:szCs w:val="18"/>
        </w:rPr>
        <w:t>结构。</w:t>
      </w:r>
    </w:p>
    <w:p w14:paraId="48734862" w14:textId="77777777" w:rsidR="00B03AA4" w:rsidRPr="00A35B74" w:rsidRDefault="00B03AA4" w:rsidP="00B03AA4">
      <w:pPr>
        <w:pStyle w:val="a7"/>
        <w:numPr>
          <w:ilvl w:val="0"/>
          <w:numId w:val="2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软件设计是软件工程的重要阶段，是一个把软件需求转换为软件代码的过程（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F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09ACC30D" w14:textId="77777777" w:rsidR="00B03AA4" w:rsidRDefault="00B03AA4" w:rsidP="00B03AA4">
      <w:r>
        <w:rPr>
          <w:rFonts w:hint="eastAsia"/>
        </w:rPr>
        <w:t>填空题</w:t>
      </w:r>
    </w:p>
    <w:p w14:paraId="43C38F55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结构化程序设计方法的主要原则可以概括为（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自顶向下，逐步求精，模块化</w:t>
      </w:r>
      <w:r>
        <w:rPr>
          <w:rFonts w:ascii="幼圆" w:eastAsia="幼圆" w:hint="eastAsia"/>
          <w:color w:val="333333"/>
          <w:sz w:val="18"/>
          <w:szCs w:val="18"/>
        </w:rPr>
        <w:t>）。</w:t>
      </w:r>
    </w:p>
    <w:p w14:paraId="405E7FE7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软件模块设计，包括模块划分，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模块的层次结构</w:t>
      </w:r>
      <w:r>
        <w:rPr>
          <w:rFonts w:ascii="幼圆" w:eastAsia="幼圆" w:hint="eastAsia"/>
          <w:color w:val="333333"/>
          <w:sz w:val="18"/>
          <w:szCs w:val="18"/>
        </w:rPr>
        <w:t>）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，模块的调用关系，每个模块的功能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等等</w:t>
      </w:r>
    </w:p>
    <w:p w14:paraId="045D9A76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设计模型是从分析模型转化而来的，主要包括四类模型：（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体系结构设计模型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）、数据设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计模型、接口设计模型、构件设计模型。</w:t>
      </w:r>
    </w:p>
    <w:p w14:paraId="15FB56AB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数据字典包括（</w:t>
      </w:r>
      <w:r>
        <w:rPr>
          <w:rFonts w:ascii="幼圆" w:eastAsia="幼圆" w:hint="eastAsia"/>
          <w:color w:val="333333"/>
          <w:sz w:val="18"/>
          <w:szCs w:val="18"/>
        </w:rPr>
        <w:t> 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数据项</w:t>
      </w:r>
      <w:r>
        <w:rPr>
          <w:rFonts w:ascii="幼圆" w:eastAsia="幼圆" w:hint="eastAsia"/>
          <w:color w:val="333333"/>
          <w:sz w:val="18"/>
          <w:szCs w:val="18"/>
        </w:rPr>
        <w:t>    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</w:rPr>
        <w:t> 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数据流</w:t>
      </w:r>
      <w:r>
        <w:rPr>
          <w:rFonts w:ascii="幼圆" w:eastAsia="幼圆" w:hint="eastAsia"/>
          <w:color w:val="333333"/>
          <w:sz w:val="18"/>
          <w:szCs w:val="18"/>
        </w:rPr>
        <w:t>     </w:t>
      </w:r>
      <w:r>
        <w:rPr>
          <w:rFonts w:ascii="幼圆" w:eastAsia="幼圆" w:hint="eastAsia"/>
          <w:color w:val="333333"/>
          <w:sz w:val="18"/>
          <w:szCs w:val="18"/>
        </w:rPr>
        <w:t>）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、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数据储存和基本加工.</w:t>
      </w:r>
    </w:p>
    <w:p w14:paraId="6638A1A1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设计模型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）把已确定的软件需求转换成特定形式的设计表示，使其得以实现。</w:t>
      </w:r>
    </w:p>
    <w:p w14:paraId="259D9094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模块层次图和模块结构图是（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模块划分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）的重要方法</w:t>
      </w:r>
    </w:p>
    <w:p w14:paraId="28C0579B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UML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设计中主要采用的图示有（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类图</w:t>
      </w:r>
      <w:r>
        <w:rPr>
          <w:rFonts w:ascii="幼圆" w:eastAsia="幼圆" w:hint="eastAsia"/>
          <w:color w:val="333333"/>
          <w:sz w:val="18"/>
          <w:szCs w:val="18"/>
        </w:rPr>
        <w:t>   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对象图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包图</w:t>
      </w:r>
      <w:r>
        <w:rPr>
          <w:rFonts w:ascii="幼圆" w:eastAsia="幼圆" w:hint="eastAsia"/>
          <w:color w:val="333333"/>
          <w:sz w:val="18"/>
          <w:szCs w:val="18"/>
        </w:rPr>
        <w:t>）等</w:t>
      </w:r>
    </w:p>
    <w:p w14:paraId="75EDA6FA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面向对象设计的主要特点是建立了四个非常重要的软件设计概念：抽象性、（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信息隐蔽性</w:t>
      </w:r>
      <w:r>
        <w:rPr>
          <w:rFonts w:ascii="幼圆" w:eastAsia="幼圆" w:hint="eastAsia"/>
          <w:color w:val="333333"/>
          <w:sz w:val="18"/>
          <w:szCs w:val="18"/>
        </w:rPr>
        <w:t>）、功能独立性和模块化。</w:t>
      </w:r>
    </w:p>
    <w:p w14:paraId="392BC493" w14:textId="77777777" w:rsidR="00B03AA4" w:rsidRPr="00EC25C3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高内聚、松耦合是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（</w:t>
      </w:r>
      <w:r>
        <w:rPr>
          <w:rFonts w:ascii="幼圆" w:eastAsia="幼圆" w:hint="eastAsia"/>
          <w:color w:val="333333"/>
          <w:sz w:val="18"/>
          <w:szCs w:val="18"/>
        </w:rPr>
        <w:t>  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模块设计</w:t>
      </w:r>
      <w:r>
        <w:rPr>
          <w:rFonts w:ascii="幼圆" w:eastAsia="幼圆" w:hint="eastAsia"/>
          <w:color w:val="333333"/>
          <w:sz w:val="18"/>
          <w:szCs w:val="18"/>
        </w:rPr>
        <w:t>       </w:t>
      </w:r>
      <w:r>
        <w:rPr>
          <w:rFonts w:ascii="幼圆" w:eastAsia="幼圆" w:hint="eastAsia"/>
          <w:color w:val="333333"/>
          <w:sz w:val="18"/>
          <w:szCs w:val="18"/>
        </w:rPr>
        <w:t>）的基本原则</w:t>
      </w:r>
    </w:p>
    <w:p w14:paraId="5F2109B3" w14:textId="77777777" w:rsidR="00B03AA4" w:rsidRPr="00F144A6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数据库的设计一般要进行三个方面的设计：（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概念设计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逻辑设计</w:t>
      </w:r>
      <w:r>
        <w:rPr>
          <w:rFonts w:ascii="幼圆" w:eastAsia="幼圆" w:hint="eastAsia"/>
          <w:color w:val="333333"/>
          <w:sz w:val="18"/>
          <w:szCs w:val="18"/>
        </w:rPr>
        <w:t>）、（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物理设计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117E111D" w14:textId="77777777" w:rsidR="00B03AA4" w:rsidRPr="00F144A6" w:rsidRDefault="00B03AA4" w:rsidP="00B03AA4">
      <w:pPr>
        <w:pStyle w:val="a7"/>
        <w:numPr>
          <w:ilvl w:val="0"/>
          <w:numId w:val="3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C/S、B/S、SOA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</w:rPr>
        <w:t>、BMP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等都是不同的（</w:t>
      </w:r>
      <w:r>
        <w:rPr>
          <w:rFonts w:ascii="幼圆" w:eastAsia="幼圆" w:hint="eastAsia"/>
          <w:color w:val="333333"/>
          <w:sz w:val="18"/>
          <w:szCs w:val="18"/>
        </w:rPr>
        <w:t>  </w:t>
      </w:r>
      <w:r>
        <w:rPr>
          <w:rFonts w:ascii="幼圆" w:eastAsia="幼圆" w:hint="eastAsia"/>
          <w:color w:val="333333"/>
          <w:sz w:val="18"/>
          <w:szCs w:val="18"/>
          <w:shd w:val="clear" w:color="auto" w:fill="EEF9F9"/>
        </w:rPr>
        <w:t>体系结构</w:t>
      </w:r>
      <w:r>
        <w:rPr>
          <w:rFonts w:ascii="幼圆" w:eastAsia="幼圆" w:hint="eastAsia"/>
          <w:color w:val="333333"/>
          <w:sz w:val="18"/>
          <w:szCs w:val="18"/>
        </w:rPr>
        <w:t> </w:t>
      </w:r>
      <w:r>
        <w:rPr>
          <w:rFonts w:ascii="幼圆" w:eastAsia="幼圆" w:hint="eastAsia"/>
          <w:color w:val="333333"/>
          <w:sz w:val="18"/>
          <w:szCs w:val="18"/>
        </w:rPr>
        <w:t>）</w:t>
      </w:r>
    </w:p>
    <w:p w14:paraId="2C634D65" w14:textId="77777777" w:rsidR="00B03AA4" w:rsidRDefault="00B03AA4" w:rsidP="00B03AA4">
      <w:r>
        <w:rPr>
          <w:rFonts w:hint="eastAsia"/>
        </w:rPr>
        <w:t>问答题</w:t>
      </w:r>
    </w:p>
    <w:p w14:paraId="789CD695" w14:textId="77777777" w:rsidR="00B03AA4" w:rsidRPr="00F144A6" w:rsidRDefault="00B03AA4" w:rsidP="00B03AA4">
      <w:pPr>
        <w:pStyle w:val="a7"/>
        <w:numPr>
          <w:ilvl w:val="0"/>
          <w:numId w:val="4"/>
        </w:numPr>
        <w:ind w:firstLineChars="0"/>
      </w:pPr>
      <w:r>
        <w:rPr>
          <w:rFonts w:ascii="幼圆" w:eastAsia="幼圆" w:hint="eastAsia"/>
          <w:color w:val="333333"/>
          <w:sz w:val="18"/>
          <w:szCs w:val="18"/>
        </w:rPr>
        <w:t>你知道内聚有哪些？分别是什么含义</w:t>
      </w:r>
    </w:p>
    <w:p w14:paraId="33E1097E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偶然内聚：块内各个任务之间没有</w:t>
      </w:r>
      <w:proofErr w:type="gramStart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有</w:t>
      </w:r>
      <w:proofErr w:type="gramEnd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意义的联系</w:t>
      </w:r>
    </w:p>
    <w:p w14:paraId="5B35E7E3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lastRenderedPageBreak/>
        <w:t>逻辑内聚：一个模块完成的任务在逻辑上相同或相似</w:t>
      </w:r>
    </w:p>
    <w:p w14:paraId="3E0DC363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时间内聚：一个模块内包含的任务需要在同一时间执行</w:t>
      </w:r>
    </w:p>
    <w:p w14:paraId="310D713A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过程内聚：一个模块内包含的</w:t>
      </w:r>
      <w:proofErr w:type="gramStart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各个处理</w:t>
      </w:r>
      <w:proofErr w:type="gramEnd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元素是相关的，而且必须按固定的次序执行。</w:t>
      </w:r>
    </w:p>
    <w:p w14:paraId="6BBD83C0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通信内聚：一个模块内的</w:t>
      </w:r>
      <w:proofErr w:type="gramStart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各个处理</w:t>
      </w:r>
      <w:proofErr w:type="gramEnd"/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元素引用共同的数据</w:t>
      </w:r>
    </w:p>
    <w:p w14:paraId="60745A1A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顺序内聚：若一个模块的各处理元素关系密切，必须按规定的处理次序执行</w:t>
      </w:r>
    </w:p>
    <w:p w14:paraId="6AB1934D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功能内聚：一个模块仅完成单一功能</w:t>
      </w:r>
    </w:p>
    <w:p w14:paraId="396CD47A" w14:textId="77777777" w:rsidR="00B03AA4" w:rsidRDefault="00B03AA4" w:rsidP="00B03AA4">
      <w:pPr>
        <w:rPr>
          <w:rFonts w:ascii="幼圆" w:eastAsia="幼圆"/>
          <w:color w:val="333333"/>
          <w:sz w:val="18"/>
          <w:szCs w:val="18"/>
        </w:rPr>
      </w:pPr>
      <w:r>
        <w:rPr>
          <w:rFonts w:hint="eastAsia"/>
        </w:rPr>
        <w:t>2.</w:t>
      </w:r>
      <w:r>
        <w:t xml:space="preserve"> </w:t>
      </w:r>
      <w:r>
        <w:rPr>
          <w:rFonts w:ascii="幼圆" w:eastAsia="幼圆" w:hint="eastAsia"/>
          <w:color w:val="333333"/>
          <w:sz w:val="18"/>
          <w:szCs w:val="18"/>
        </w:rPr>
        <w:t>你知道有哪几种耦合类型？分别是什么含义？</w:t>
      </w:r>
    </w:p>
    <w:p w14:paraId="1F202E8E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独立耦合：没有直接联系的模块</w:t>
      </w:r>
    </w:p>
    <w:p w14:paraId="30A6B615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数据耦合：两个模块彼此交换数据</w:t>
      </w:r>
    </w:p>
    <w:p w14:paraId="06A41BD3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控制耦合：两个模块传递的不是数据参数而是控制参数</w:t>
      </w:r>
    </w:p>
    <w:p w14:paraId="60CC191C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公共耦合：若干个模块对同一数据区进行存取操作。</w:t>
      </w:r>
    </w:p>
    <w:p w14:paraId="10EC2E80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内容耦合：一个模块直接访问另一个模块的内部代码或数据</w:t>
      </w:r>
    </w:p>
    <w:p w14:paraId="4FC0AA7B" w14:textId="77777777" w:rsidR="00B03AA4" w:rsidRDefault="00B03AA4" w:rsidP="00B03AA4">
      <w:pPr>
        <w:rPr>
          <w:rFonts w:ascii="幼圆" w:eastAsia="幼圆"/>
          <w:color w:val="333333"/>
          <w:sz w:val="18"/>
          <w:szCs w:val="18"/>
        </w:rPr>
      </w:pPr>
      <w:r>
        <w:rPr>
          <w:rFonts w:hint="eastAsia"/>
        </w:rPr>
        <w:t>3.</w:t>
      </w:r>
      <w:r>
        <w:t xml:space="preserve"> </w:t>
      </w:r>
      <w:r>
        <w:rPr>
          <w:rFonts w:ascii="幼圆" w:eastAsia="幼圆" w:hint="eastAsia"/>
          <w:color w:val="333333"/>
          <w:sz w:val="18"/>
          <w:szCs w:val="18"/>
        </w:rPr>
        <w:t>高质量设计的特征</w:t>
      </w:r>
    </w:p>
    <w:p w14:paraId="2D59238D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可扩展性</w:t>
      </w:r>
    </w:p>
    <w:p w14:paraId="4FB59D28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模块独立性</w:t>
      </w:r>
    </w:p>
    <w:p w14:paraId="055AE592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错误预防和错误处理</w:t>
      </w:r>
    </w:p>
    <w:p w14:paraId="0B25C3F2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代码重用性设计</w:t>
      </w:r>
    </w:p>
    <w:p w14:paraId="42DACD57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友好的人机交互界面</w:t>
      </w:r>
    </w:p>
    <w:p w14:paraId="5F0465CF" w14:textId="77777777" w:rsidR="00B03AA4" w:rsidRDefault="00B03AA4" w:rsidP="00B03AA4">
      <w:pPr>
        <w:rPr>
          <w:rFonts w:ascii="幼圆" w:eastAsia="幼圆"/>
          <w:color w:val="333333"/>
          <w:sz w:val="18"/>
          <w:szCs w:val="18"/>
        </w:rPr>
      </w:pPr>
      <w:r>
        <w:rPr>
          <w:rFonts w:hint="eastAsia"/>
        </w:rPr>
        <w:t>4.</w:t>
      </w:r>
      <w:r>
        <w:t xml:space="preserve"> </w:t>
      </w:r>
      <w:r>
        <w:rPr>
          <w:rFonts w:ascii="幼圆" w:eastAsia="幼圆" w:hint="eastAsia"/>
          <w:color w:val="333333"/>
          <w:sz w:val="18"/>
          <w:szCs w:val="18"/>
        </w:rPr>
        <w:t>你知道的体系结构有哪些？</w:t>
      </w:r>
    </w:p>
    <w:p w14:paraId="46C2A2EC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H/T</w:t>
      </w:r>
    </w:p>
    <w:p w14:paraId="33F100B7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C/S</w:t>
      </w:r>
    </w:p>
    <w:p w14:paraId="3FB5432C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B/S</w:t>
      </w:r>
    </w:p>
    <w:p w14:paraId="27DECEE5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多层架构</w:t>
      </w:r>
    </w:p>
    <w:p w14:paraId="29B3EDDA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SOA面向服务结构</w:t>
      </w:r>
    </w:p>
    <w:p w14:paraId="76B882AF" w14:textId="77777777" w:rsidR="00B03AA4" w:rsidRPr="00F144A6" w:rsidRDefault="00B03AA4" w:rsidP="00B03AA4">
      <w:pPr>
        <w:pStyle w:val="a8"/>
        <w:spacing w:before="0" w:beforeAutospacing="0" w:after="0" w:afterAutospacing="0"/>
        <w:ind w:left="360"/>
        <w:rPr>
          <w:rFonts w:ascii="幼圆" w:eastAsia="幼圆" w:hAnsi="Calibri" w:cs="Times New Roman"/>
          <w:color w:val="333333"/>
          <w:kern w:val="2"/>
          <w:sz w:val="18"/>
          <w:szCs w:val="18"/>
          <w:shd w:val="clear" w:color="auto" w:fill="EEF9F9"/>
        </w:rPr>
      </w:pPr>
      <w:r w:rsidRPr="00F144A6">
        <w:rPr>
          <w:rFonts w:ascii="幼圆" w:eastAsia="幼圆" w:hAnsi="Calibri" w:cs="Times New Roman" w:hint="eastAsia"/>
          <w:color w:val="333333"/>
          <w:kern w:val="2"/>
          <w:sz w:val="18"/>
          <w:szCs w:val="18"/>
          <w:shd w:val="clear" w:color="auto" w:fill="EEF9F9"/>
        </w:rPr>
        <w:t>BPM面向工作流引擎架构</w:t>
      </w:r>
    </w:p>
    <w:p w14:paraId="1F7A6026" w14:textId="77777777" w:rsidR="00B03AA4" w:rsidRPr="00F144A6" w:rsidRDefault="00B03AA4" w:rsidP="00B03AA4"/>
    <w:p w14:paraId="1A4FE66D" w14:textId="77777777" w:rsidR="007643C7" w:rsidRDefault="005B40AF"/>
    <w:sectPr w:rsidR="00764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0131" w14:textId="77777777" w:rsidR="005B40AF" w:rsidRDefault="005B40AF" w:rsidP="00B03AA4">
      <w:r>
        <w:separator/>
      </w:r>
    </w:p>
  </w:endnote>
  <w:endnote w:type="continuationSeparator" w:id="0">
    <w:p w14:paraId="214D9279" w14:textId="77777777" w:rsidR="005B40AF" w:rsidRDefault="005B40AF" w:rsidP="00B0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55DB" w14:textId="77777777" w:rsidR="005B40AF" w:rsidRDefault="005B40AF" w:rsidP="00B03AA4">
      <w:r>
        <w:separator/>
      </w:r>
    </w:p>
  </w:footnote>
  <w:footnote w:type="continuationSeparator" w:id="0">
    <w:p w14:paraId="748867B9" w14:textId="77777777" w:rsidR="005B40AF" w:rsidRDefault="005B40AF" w:rsidP="00B03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08756C"/>
    <w:multiLevelType w:val="multilevel"/>
    <w:tmpl w:val="EEE8FEE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pStyle w:val="1"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1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1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1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1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10" w:firstLine="0"/>
      </w:pPr>
      <w:rPr>
        <w:rFonts w:hint="default"/>
      </w:rPr>
    </w:lvl>
  </w:abstractNum>
  <w:abstractNum w:abstractNumId="1" w15:restartNumberingAfterBreak="0">
    <w:nsid w:val="16377036"/>
    <w:multiLevelType w:val="hybridMultilevel"/>
    <w:tmpl w:val="22C0A5DA"/>
    <w:lvl w:ilvl="0" w:tplc="26F26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1386F"/>
    <w:multiLevelType w:val="hybridMultilevel"/>
    <w:tmpl w:val="87A41806"/>
    <w:lvl w:ilvl="0" w:tplc="63702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13B17"/>
    <w:multiLevelType w:val="hybridMultilevel"/>
    <w:tmpl w:val="7FAC4BAE"/>
    <w:lvl w:ilvl="0" w:tplc="C78E1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8255641">
    <w:abstractNumId w:val="0"/>
  </w:num>
  <w:num w:numId="2" w16cid:durableId="1377703685">
    <w:abstractNumId w:val="1"/>
  </w:num>
  <w:num w:numId="3" w16cid:durableId="1513640099">
    <w:abstractNumId w:val="3"/>
  </w:num>
  <w:num w:numId="4" w16cid:durableId="1192036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47"/>
    <w:rsid w:val="002264CA"/>
    <w:rsid w:val="00470347"/>
    <w:rsid w:val="005B40AF"/>
    <w:rsid w:val="0061382C"/>
    <w:rsid w:val="00645731"/>
    <w:rsid w:val="00B0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A5BBBF-B898-4643-807F-D1AC7AA4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A4"/>
    <w:pPr>
      <w:widowControl w:val="0"/>
      <w:jc w:val="both"/>
    </w:pPr>
    <w:rPr>
      <w:rFonts w:ascii="Calibri" w:eastAsia="楷体" w:hAnsi="Calibri" w:cs="Times New Roman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645731"/>
    <w:pPr>
      <w:numPr>
        <w:ilvl w:val="1"/>
        <w:numId w:val="1"/>
      </w:numPr>
      <w:outlineLvl w:val="0"/>
    </w:pPr>
    <w:rPr>
      <w:rFonts w:ascii="楷体" w:hAnsi="楷体" w:cs="楷体"/>
      <w:b/>
      <w:bCs/>
      <w:sz w:val="30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645731"/>
    <w:pPr>
      <w:keepNext/>
      <w:keepLines/>
      <w:outlineLvl w:val="1"/>
    </w:pPr>
    <w:rPr>
      <w:rFonts w:cs="黑体"/>
      <w:b/>
    </w:rPr>
  </w:style>
  <w:style w:type="paragraph" w:styleId="3">
    <w:name w:val="heading 3"/>
    <w:basedOn w:val="a"/>
    <w:next w:val="a"/>
    <w:link w:val="30"/>
    <w:autoRedefine/>
    <w:unhideWhenUsed/>
    <w:qFormat/>
    <w:rsid w:val="00645731"/>
    <w:pPr>
      <w:keepNext/>
      <w:keepLines/>
      <w:outlineLvl w:val="2"/>
    </w:pPr>
    <w:rPr>
      <w:rFonts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5731"/>
    <w:rPr>
      <w:rFonts w:ascii="楷体" w:eastAsia="楷体" w:hAnsi="楷体" w:cs="楷体"/>
      <w:b/>
      <w:bCs/>
      <w:sz w:val="30"/>
      <w:szCs w:val="28"/>
    </w:rPr>
  </w:style>
  <w:style w:type="character" w:customStyle="1" w:styleId="20">
    <w:name w:val="标题 2 字符"/>
    <w:basedOn w:val="a0"/>
    <w:link w:val="2"/>
    <w:uiPriority w:val="9"/>
    <w:rsid w:val="00645731"/>
    <w:rPr>
      <w:rFonts w:eastAsia="楷体" w:cs="黑体"/>
      <w:b/>
      <w:sz w:val="28"/>
    </w:rPr>
  </w:style>
  <w:style w:type="character" w:customStyle="1" w:styleId="30">
    <w:name w:val="标题 3 字符"/>
    <w:basedOn w:val="a0"/>
    <w:link w:val="3"/>
    <w:rsid w:val="00645731"/>
    <w:rPr>
      <w:rFonts w:ascii="Calibri" w:eastAsia="楷体" w:hAnsi="Calibr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B0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AA4"/>
    <w:rPr>
      <w:rFonts w:ascii="Calibri" w:eastAsia="楷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AA4"/>
    <w:rPr>
      <w:rFonts w:ascii="Calibri" w:eastAsia="楷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03AA4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03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1807788290@qq.com</dc:creator>
  <cp:keywords/>
  <dc:description/>
  <cp:lastModifiedBy>1807788290@qq.com</cp:lastModifiedBy>
  <cp:revision>2</cp:revision>
  <dcterms:created xsi:type="dcterms:W3CDTF">2022-06-14T13:55:00Z</dcterms:created>
  <dcterms:modified xsi:type="dcterms:W3CDTF">2022-06-14T13:55:00Z</dcterms:modified>
</cp:coreProperties>
</file>