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8CABF" w14:textId="77777777" w:rsidR="00686B02" w:rsidRDefault="00000000">
      <w:pPr>
        <w:widowControl/>
        <w:jc w:val="center"/>
        <w:rPr>
          <w:rFonts w:ascii="宋体" w:eastAsia="宋体" w:hAnsi="宋体" w:cs="宋体"/>
          <w:color w:val="333333"/>
          <w:kern w:val="0"/>
          <w:sz w:val="36"/>
          <w:szCs w:val="36"/>
          <w:shd w:val="clear" w:color="auto" w:fill="FFFFFF"/>
          <w:lang w:eastAsia="zh-Hans" w:bidi="ar"/>
        </w:rPr>
      </w:pPr>
      <w:r>
        <w:rPr>
          <w:rFonts w:ascii="宋体" w:eastAsia="宋体" w:hAnsi="宋体" w:cs="宋体"/>
          <w:color w:val="333333"/>
          <w:kern w:val="0"/>
          <w:sz w:val="36"/>
          <w:szCs w:val="36"/>
          <w:shd w:val="clear" w:color="auto" w:fill="FFFFFF"/>
          <w:lang w:eastAsia="zh-Hans" w:bidi="ar"/>
        </w:rPr>
        <w:t>2023-2024</w:t>
      </w:r>
      <w:r>
        <w:rPr>
          <w:rFonts w:ascii="宋体" w:eastAsia="宋体" w:hAnsi="宋体" w:cs="宋体" w:hint="eastAsia"/>
          <w:color w:val="333333"/>
          <w:kern w:val="0"/>
          <w:sz w:val="36"/>
          <w:szCs w:val="36"/>
          <w:shd w:val="clear" w:color="auto" w:fill="FFFFFF"/>
          <w:lang w:eastAsia="zh-Hans" w:bidi="ar"/>
        </w:rPr>
        <w:t>学年第二学期</w:t>
      </w:r>
    </w:p>
    <w:p w14:paraId="2E86E6FE" w14:textId="77777777" w:rsidR="00686B02" w:rsidRDefault="00000000">
      <w:pPr>
        <w:widowControl/>
        <w:jc w:val="center"/>
        <w:rPr>
          <w:rFonts w:ascii="宋体" w:eastAsia="宋体" w:hAnsi="宋体" w:cs="宋体"/>
          <w:color w:val="333333"/>
          <w:kern w:val="0"/>
          <w:sz w:val="36"/>
          <w:szCs w:val="36"/>
          <w:shd w:val="clear" w:color="auto" w:fill="FFFFFF"/>
          <w:lang w:eastAsia="zh-Hans" w:bidi="ar"/>
        </w:rPr>
      </w:pPr>
      <w:r>
        <w:rPr>
          <w:rFonts w:ascii="宋体" w:eastAsia="宋体" w:hAnsi="宋体" w:cs="宋体" w:hint="eastAsia"/>
          <w:color w:val="333333"/>
          <w:kern w:val="0"/>
          <w:sz w:val="36"/>
          <w:szCs w:val="36"/>
          <w:shd w:val="clear" w:color="auto" w:fill="FFFFFF"/>
          <w:lang w:eastAsia="zh-Hans" w:bidi="ar"/>
        </w:rPr>
        <w:t>形势与政策期末考试</w:t>
      </w:r>
      <w:r>
        <w:rPr>
          <w:rFonts w:ascii="宋体" w:eastAsia="宋体" w:hAnsi="宋体" w:cs="宋体"/>
          <w:color w:val="333333"/>
          <w:kern w:val="0"/>
          <w:sz w:val="36"/>
          <w:szCs w:val="36"/>
          <w:shd w:val="clear" w:color="auto" w:fill="FFFFFF"/>
          <w:lang w:eastAsia="zh-Hans" w:bidi="ar"/>
        </w:rPr>
        <w:t>（</w:t>
      </w:r>
      <w:r>
        <w:rPr>
          <w:rFonts w:ascii="宋体" w:eastAsia="宋体" w:hAnsi="宋体" w:cs="宋体"/>
          <w:color w:val="333333"/>
          <w:kern w:val="0"/>
          <w:sz w:val="36"/>
          <w:szCs w:val="36"/>
          <w:shd w:val="clear" w:color="auto" w:fill="FFFFFF"/>
          <w:lang w:eastAsia="zh-Hans" w:bidi="ar"/>
        </w:rPr>
        <w:tab/>
        <w:t>B ）</w:t>
      </w:r>
      <w:r>
        <w:rPr>
          <w:rFonts w:ascii="宋体" w:eastAsia="宋体" w:hAnsi="宋体" w:cs="宋体" w:hint="eastAsia"/>
          <w:color w:val="333333"/>
          <w:kern w:val="0"/>
          <w:sz w:val="36"/>
          <w:szCs w:val="36"/>
          <w:shd w:val="clear" w:color="auto" w:fill="FFFFFF"/>
          <w:lang w:eastAsia="zh-Hans" w:bidi="ar"/>
        </w:rPr>
        <w:t>试卷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6B02" w14:paraId="6385B3FB" w14:textId="77777777">
        <w:tc>
          <w:tcPr>
            <w:tcW w:w="2840" w:type="dxa"/>
          </w:tcPr>
          <w:p w14:paraId="08585D71" w14:textId="77777777" w:rsidR="00686B02" w:rsidRDefault="0000000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  <w:t>题目</w:t>
            </w:r>
          </w:p>
        </w:tc>
        <w:tc>
          <w:tcPr>
            <w:tcW w:w="2841" w:type="dxa"/>
          </w:tcPr>
          <w:p w14:paraId="4105703F" w14:textId="77777777" w:rsidR="00686B02" w:rsidRDefault="0000000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  <w:t>分值</w:t>
            </w:r>
          </w:p>
        </w:tc>
        <w:tc>
          <w:tcPr>
            <w:tcW w:w="2841" w:type="dxa"/>
          </w:tcPr>
          <w:p w14:paraId="08B00392" w14:textId="77777777" w:rsidR="00686B02" w:rsidRDefault="0000000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  <w:t>得分</w:t>
            </w:r>
          </w:p>
        </w:tc>
      </w:tr>
      <w:tr w:rsidR="00686B02" w14:paraId="27F68229" w14:textId="77777777">
        <w:tc>
          <w:tcPr>
            <w:tcW w:w="2840" w:type="dxa"/>
          </w:tcPr>
          <w:p w14:paraId="1B568A04" w14:textId="77777777" w:rsidR="00686B02" w:rsidRDefault="0000000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  <w:t>小论文</w:t>
            </w:r>
          </w:p>
        </w:tc>
        <w:tc>
          <w:tcPr>
            <w:tcW w:w="2841" w:type="dxa"/>
          </w:tcPr>
          <w:p w14:paraId="61F96928" w14:textId="77777777" w:rsidR="00686B02" w:rsidRDefault="0000000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  <w:t>100</w:t>
            </w:r>
          </w:p>
        </w:tc>
        <w:tc>
          <w:tcPr>
            <w:tcW w:w="2841" w:type="dxa"/>
          </w:tcPr>
          <w:p w14:paraId="38441C17" w14:textId="77777777" w:rsidR="00686B02" w:rsidRDefault="00686B0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32"/>
                <w:shd w:val="clear" w:color="auto" w:fill="FFFFFF"/>
                <w:lang w:eastAsia="zh-Hans" w:bidi="ar"/>
              </w:rPr>
            </w:pPr>
          </w:p>
        </w:tc>
      </w:tr>
    </w:tbl>
    <w:p w14:paraId="36EC36A3" w14:textId="77777777" w:rsidR="00686B02" w:rsidRDefault="00686B02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hd w:val="clear" w:color="auto" w:fill="FFFFFF"/>
          <w:lang w:eastAsia="zh-Hans" w:bidi="ar"/>
        </w:rPr>
      </w:pPr>
    </w:p>
    <w:p w14:paraId="1EF8D998" w14:textId="77777777" w:rsidR="00686B02" w:rsidRDefault="00686B02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hd w:val="clear" w:color="auto" w:fill="FFFFFF"/>
          <w:lang w:eastAsia="zh-Hans" w:bidi="ar"/>
        </w:rPr>
      </w:pPr>
    </w:p>
    <w:p w14:paraId="4BC04F8B" w14:textId="77777777" w:rsidR="00686B02" w:rsidRDefault="00000000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eastAsia="zh-Hans" w:bidi="ar"/>
        </w:rPr>
        <w:t>材料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eastAsia="zh-Hans" w:bidi="ar"/>
        </w:rPr>
        <w:t>一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bidi="ar"/>
        </w:rPr>
        <w:t>）：</w:t>
      </w:r>
    </w:p>
    <w:p w14:paraId="2BB87199" w14:textId="77777777" w:rsidR="00686B02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/>
          <w:color w:val="333333"/>
          <w:sz w:val="24"/>
        </w:rPr>
        <w:t>今年的政府工作报告中，一系列举措回应多群体、多层次的民生需求。聚焦报告中有力度、有温度的民生细节，一份“民生清单”跃然眼前。坚持以</w:t>
      </w:r>
      <w:r w:rsidRPr="00A1086F">
        <w:rPr>
          <w:rFonts w:ascii="宋体" w:eastAsia="宋体" w:hAnsi="宋体" w:cs="宋体"/>
          <w:color w:val="333333"/>
          <w:sz w:val="24"/>
          <w:highlight w:val="yellow"/>
        </w:rPr>
        <w:t>人民为中心</w:t>
      </w:r>
      <w:r>
        <w:rPr>
          <w:rFonts w:ascii="宋体" w:eastAsia="宋体" w:hAnsi="宋体" w:cs="宋体"/>
          <w:color w:val="333333"/>
          <w:sz w:val="24"/>
        </w:rPr>
        <w:t>的发展思想，履行好保基本、兜底线职责，采取更多惠民生、暖民心举措，扎实推进共同富裕，促进社会和谐稳定，不断增强人民群众的获得感、幸福感、安全感。</w:t>
      </w:r>
    </w:p>
    <w:p w14:paraId="5DEAB5D9" w14:textId="77777777" w:rsidR="00686B02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  <w:r w:rsidRPr="00A1086F">
        <w:rPr>
          <w:rFonts w:ascii="宋体" w:eastAsia="宋体" w:hAnsi="宋体" w:cs="宋体"/>
          <w:color w:val="333333"/>
          <w:sz w:val="24"/>
          <w:highlight w:val="yellow"/>
        </w:rPr>
        <w:t>就业是最基本的民生</w:t>
      </w:r>
      <w:r>
        <w:rPr>
          <w:rFonts w:ascii="宋体" w:eastAsia="宋体" w:hAnsi="宋体" w:cs="宋体"/>
          <w:color w:val="333333"/>
          <w:sz w:val="24"/>
        </w:rPr>
        <w:t>。今年发展主要预期目标包括，城镇新增就业1200万人以上。报告提出，预计今年高校毕业生超过1170万人，要强化促进青年就业政策举措。分类完善灵活就业服务保障措施，扩大新就业形态就业人员职业伤害保障试点。全国政协委员、南方科技大学副校长金李说，当前，就业总量压力不减，结构性矛盾依然存在。今年</w:t>
      </w:r>
      <w:proofErr w:type="gramStart"/>
      <w:r>
        <w:rPr>
          <w:rFonts w:ascii="宋体" w:eastAsia="宋体" w:hAnsi="宋体" w:cs="宋体"/>
          <w:color w:val="333333"/>
          <w:sz w:val="24"/>
        </w:rPr>
        <w:t>稳就业</w:t>
      </w:r>
      <w:proofErr w:type="gramEnd"/>
      <w:r>
        <w:rPr>
          <w:rFonts w:ascii="宋体" w:eastAsia="宋体" w:hAnsi="宋体" w:cs="宋体"/>
          <w:color w:val="333333"/>
          <w:sz w:val="24"/>
        </w:rPr>
        <w:t>政策在持续加力的基础上，增强了解决就业结构性矛盾的针对性，系列部署精准发力促进劳动力供需匹配，更大力度支持高校毕业生等重点群体就业和新业</w:t>
      </w:r>
      <w:proofErr w:type="gramStart"/>
      <w:r>
        <w:rPr>
          <w:rFonts w:ascii="宋体" w:eastAsia="宋体" w:hAnsi="宋体" w:cs="宋体"/>
          <w:color w:val="333333"/>
          <w:sz w:val="24"/>
        </w:rPr>
        <w:t>态就业</w:t>
      </w:r>
      <w:proofErr w:type="gramEnd"/>
      <w:r>
        <w:rPr>
          <w:rFonts w:ascii="宋体" w:eastAsia="宋体" w:hAnsi="宋体" w:cs="宋体"/>
          <w:color w:val="333333"/>
          <w:sz w:val="24"/>
        </w:rPr>
        <w:t>人员权益保障，助力高质量充分就业。</w:t>
      </w:r>
    </w:p>
    <w:p w14:paraId="104F39AD" w14:textId="77777777" w:rsidR="00686B02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  <w:lang w:eastAsia="zh-Hans"/>
        </w:rPr>
      </w:pPr>
      <w:r>
        <w:rPr>
          <w:rFonts w:ascii="宋体" w:eastAsia="宋体" w:hAnsi="宋体" w:cs="宋体"/>
          <w:color w:val="333333"/>
          <w:sz w:val="24"/>
        </w:rPr>
        <w:t>《向着美好未来奋进——从全国两会看“关键一年”》</w:t>
      </w:r>
      <w:r>
        <w:rPr>
          <w:rFonts w:ascii="宋体" w:eastAsia="宋体" w:hAnsi="宋体" w:cs="宋体" w:hint="eastAsia"/>
          <w:color w:val="333333"/>
          <w:sz w:val="24"/>
          <w:lang w:eastAsia="zh-Hans"/>
        </w:rPr>
        <w:t>新华社</w:t>
      </w:r>
      <w:r>
        <w:rPr>
          <w:rFonts w:ascii="宋体" w:eastAsia="宋体" w:hAnsi="宋体" w:cs="宋体"/>
          <w:color w:val="333333"/>
          <w:sz w:val="24"/>
          <w:lang w:eastAsia="zh-Hans"/>
        </w:rPr>
        <w:t>。2024</w:t>
      </w:r>
      <w:r>
        <w:rPr>
          <w:rFonts w:ascii="宋体" w:eastAsia="宋体" w:hAnsi="宋体" w:cs="宋体" w:hint="eastAsia"/>
          <w:color w:val="333333"/>
          <w:sz w:val="24"/>
          <w:lang w:eastAsia="zh-Hans"/>
        </w:rPr>
        <w:t>.</w:t>
      </w:r>
      <w:r>
        <w:rPr>
          <w:rFonts w:ascii="宋体" w:eastAsia="宋体" w:hAnsi="宋体" w:cs="宋体"/>
          <w:color w:val="333333"/>
          <w:sz w:val="24"/>
          <w:lang w:eastAsia="zh-Hans"/>
        </w:rPr>
        <w:t>03</w:t>
      </w:r>
      <w:r>
        <w:rPr>
          <w:rFonts w:ascii="宋体" w:eastAsia="宋体" w:hAnsi="宋体" w:cs="宋体" w:hint="eastAsia"/>
          <w:color w:val="333333"/>
          <w:sz w:val="24"/>
          <w:lang w:eastAsia="zh-Hans"/>
        </w:rPr>
        <w:t>.</w:t>
      </w:r>
      <w:r>
        <w:rPr>
          <w:rFonts w:ascii="宋体" w:eastAsia="宋体" w:hAnsi="宋体" w:cs="宋体"/>
          <w:color w:val="333333"/>
          <w:sz w:val="24"/>
          <w:lang w:eastAsia="zh-Hans"/>
        </w:rPr>
        <w:t>08</w:t>
      </w:r>
    </w:p>
    <w:p w14:paraId="4A644E48" w14:textId="77777777" w:rsidR="00686B02" w:rsidRDefault="00686B02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hd w:val="clear" w:color="auto" w:fill="FFFFFF"/>
          <w:lang w:eastAsia="zh-Hans" w:bidi="ar"/>
        </w:rPr>
      </w:pPr>
    </w:p>
    <w:p w14:paraId="051BEEFC" w14:textId="77777777" w:rsidR="00686B02" w:rsidRDefault="00000000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eastAsia="zh-Hans" w:bidi="ar"/>
        </w:rPr>
        <w:t>材料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eastAsia="zh-Hans" w:bidi="ar"/>
        </w:rPr>
        <w:t>二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bidi="ar"/>
        </w:rPr>
        <w:t>）：</w:t>
      </w:r>
    </w:p>
    <w:p w14:paraId="1BABF052" w14:textId="77777777" w:rsidR="00686B02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深入实施</w:t>
      </w:r>
      <w:r w:rsidRPr="00A1086F">
        <w:rPr>
          <w:rFonts w:ascii="宋体" w:eastAsia="宋体" w:hAnsi="宋体" w:cs="宋体" w:hint="eastAsia"/>
          <w:color w:val="333333"/>
          <w:sz w:val="24"/>
          <w:highlight w:val="yellow"/>
        </w:rPr>
        <w:t>科教兴国战略，</w:t>
      </w:r>
      <w:r>
        <w:rPr>
          <w:rFonts w:ascii="宋体" w:eastAsia="宋体" w:hAnsi="宋体" w:cs="宋体" w:hint="eastAsia"/>
          <w:color w:val="333333"/>
          <w:sz w:val="24"/>
        </w:rPr>
        <w:t>强化高</w:t>
      </w:r>
      <w:r w:rsidRPr="00A1086F">
        <w:rPr>
          <w:rFonts w:ascii="宋体" w:eastAsia="宋体" w:hAnsi="宋体" w:cs="宋体" w:hint="eastAsia"/>
          <w:color w:val="333333"/>
          <w:sz w:val="24"/>
          <w:highlight w:val="yellow"/>
        </w:rPr>
        <w:t>质量发展的基础支撑。坚持教育强国、科技强国、人才强国建设一体统筹推进，</w:t>
      </w:r>
      <w:r>
        <w:rPr>
          <w:rFonts w:ascii="宋体" w:eastAsia="宋体" w:hAnsi="宋体" w:cs="宋体" w:hint="eastAsia"/>
          <w:color w:val="333333"/>
          <w:sz w:val="24"/>
        </w:rPr>
        <w:t>创新</w:t>
      </w:r>
      <w:proofErr w:type="gramStart"/>
      <w:r>
        <w:rPr>
          <w:rFonts w:ascii="宋体" w:eastAsia="宋体" w:hAnsi="宋体" w:cs="宋体" w:hint="eastAsia"/>
          <w:color w:val="333333"/>
          <w:sz w:val="24"/>
        </w:rPr>
        <w:t>链产业链资金链人才</w:t>
      </w:r>
      <w:proofErr w:type="gramEnd"/>
      <w:r>
        <w:rPr>
          <w:rFonts w:ascii="宋体" w:eastAsia="宋体" w:hAnsi="宋体" w:cs="宋体" w:hint="eastAsia"/>
          <w:color w:val="333333"/>
          <w:sz w:val="24"/>
        </w:rPr>
        <w:t>链一体部署实施，深化教育科技人才综合改革，为现代化建设提供强大动力。</w:t>
      </w:r>
    </w:p>
    <w:p w14:paraId="2E2F4B2A" w14:textId="77777777" w:rsidR="00686B02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加强高质量教育体系建设。全面贯彻党的教育方针，坚持把高质量发展作为各级各类教育的生命线。制定实施教育强国建设规划纲要。落实立德树人根本任务，推进大中小学思想政治教育一体化建设。开展基础教育</w:t>
      </w:r>
      <w:proofErr w:type="gramStart"/>
      <w:r>
        <w:rPr>
          <w:rFonts w:ascii="宋体" w:eastAsia="宋体" w:hAnsi="宋体" w:cs="宋体" w:hint="eastAsia"/>
          <w:color w:val="333333"/>
          <w:sz w:val="24"/>
        </w:rPr>
        <w:t>扩优提质</w:t>
      </w:r>
      <w:proofErr w:type="gramEnd"/>
      <w:r>
        <w:rPr>
          <w:rFonts w:ascii="宋体" w:eastAsia="宋体" w:hAnsi="宋体" w:cs="宋体" w:hint="eastAsia"/>
          <w:color w:val="333333"/>
          <w:sz w:val="24"/>
        </w:rPr>
        <w:t>行动，加快义务教育优质均衡发展和城乡一体化，改善农村寄宿制学校办学条件，持续深化“双减”，推动学前教育普惠发展，加强县域普通高中建设。减轻中小学教师非教学负担。办好特殊教育、继续教育，引导规范民办教育发展，大力提高职业教育质量。实施高等教育综合改革试点，优化学科专业和资源结构布局，加快建设中国特色、世界一流的大学和优势学科，建强应用型本科高校，增强中西部地区高校办学实力。加强学生心理健康教育。大力发展数字教育。弘扬教育家精神，建设高素质专业化教师队伍。我们要坚持教育优先发展，加快推进教育现代化，厚</w:t>
      </w:r>
      <w:proofErr w:type="gramStart"/>
      <w:r>
        <w:rPr>
          <w:rFonts w:ascii="宋体" w:eastAsia="宋体" w:hAnsi="宋体" w:cs="宋体" w:hint="eastAsia"/>
          <w:color w:val="333333"/>
          <w:sz w:val="24"/>
        </w:rPr>
        <w:t>植人民</w:t>
      </w:r>
      <w:proofErr w:type="gramEnd"/>
      <w:r>
        <w:rPr>
          <w:rFonts w:ascii="宋体" w:eastAsia="宋体" w:hAnsi="宋体" w:cs="宋体" w:hint="eastAsia"/>
          <w:color w:val="333333"/>
          <w:sz w:val="24"/>
        </w:rPr>
        <w:t>幸福之本，夯实国家富强之基。</w:t>
      </w:r>
    </w:p>
    <w:p w14:paraId="676347C6" w14:textId="77777777" w:rsidR="00686B02" w:rsidRDefault="00000000">
      <w:pPr>
        <w:widowControl/>
        <w:jc w:val="right"/>
        <w:rPr>
          <w:rFonts w:ascii="宋体" w:eastAsia="宋体" w:hAnsi="宋体" w:cs="宋体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——十四届全国人大二次会议上作《政府工作报告》2024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eastAsia="zh-Hans" w:bidi="ar"/>
        </w:rPr>
        <w:t>.</w:t>
      </w:r>
      <w:r>
        <w:rPr>
          <w:rFonts w:ascii="宋体" w:eastAsia="宋体" w:hAnsi="宋体" w:cs="宋体"/>
          <w:kern w:val="0"/>
          <w:sz w:val="24"/>
          <w:shd w:val="clear" w:color="auto" w:fill="FFFFFF"/>
          <w:lang w:eastAsia="zh-Hans" w:bidi="ar"/>
        </w:rPr>
        <w:t>0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3.</w:t>
      </w:r>
      <w:r>
        <w:rPr>
          <w:rFonts w:ascii="宋体" w:eastAsia="宋体" w:hAnsi="宋体" w:cs="宋体"/>
          <w:kern w:val="0"/>
          <w:sz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5</w:t>
      </w:r>
    </w:p>
    <w:p w14:paraId="66C555A3" w14:textId="77777777" w:rsidR="00686B02" w:rsidRDefault="00686B02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</w:p>
    <w:p w14:paraId="3B733ED5" w14:textId="77777777" w:rsidR="00686B02" w:rsidRDefault="00686B02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</w:p>
    <w:p w14:paraId="4F3E4B71" w14:textId="77777777" w:rsidR="00686B02" w:rsidRDefault="00000000">
      <w:pPr>
        <w:widowControl/>
        <w:jc w:val="left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eastAsia="zh-Hans" w:bidi="ar"/>
        </w:rPr>
        <w:t>材料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eastAsia="zh-Hans" w:bidi="ar"/>
        </w:rPr>
        <w:t>三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bidi="ar"/>
        </w:rPr>
        <w:t>）：</w:t>
      </w:r>
    </w:p>
    <w:p w14:paraId="23E114A1" w14:textId="77777777" w:rsidR="00686B02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  <w:r w:rsidRPr="00A1086F">
        <w:rPr>
          <w:rFonts w:ascii="宋体" w:eastAsia="宋体" w:hAnsi="宋体" w:cs="宋体" w:hint="eastAsia"/>
          <w:color w:val="333333"/>
          <w:sz w:val="24"/>
          <w:highlight w:val="yellow"/>
        </w:rPr>
        <w:lastRenderedPageBreak/>
        <w:t>加快推动高水平科技自立自强。</w:t>
      </w:r>
      <w:r>
        <w:rPr>
          <w:rFonts w:ascii="宋体" w:eastAsia="宋体" w:hAnsi="宋体" w:cs="宋体" w:hint="eastAsia"/>
          <w:color w:val="333333"/>
          <w:sz w:val="24"/>
        </w:rPr>
        <w:t>充分发挥新型举国体制优势，全面提升自主创新能力。强化基础研究系统布局，长期稳定支持一批创新基地、优势团队和重点方向，增强原始创新能力。瞄准国家重大战略需求和产业发展需要，部署实施一批重大科技项目。集成国家战略科技力量、社会创新资源，推进关键核心技术协同攻关，加强颠覆性技术和前沿技术研究。完善国家实验室运行管理机制，发挥国际和区域科技创新中心辐射带动作用。加快重大科技基础设施体系化布局，推进共性技术平台、中</w:t>
      </w:r>
      <w:proofErr w:type="gramStart"/>
      <w:r>
        <w:rPr>
          <w:rFonts w:ascii="宋体" w:eastAsia="宋体" w:hAnsi="宋体" w:cs="宋体" w:hint="eastAsia"/>
          <w:color w:val="333333"/>
          <w:sz w:val="24"/>
        </w:rPr>
        <w:t>试验证</w:t>
      </w:r>
      <w:proofErr w:type="gramEnd"/>
      <w:r>
        <w:rPr>
          <w:rFonts w:ascii="宋体" w:eastAsia="宋体" w:hAnsi="宋体" w:cs="宋体" w:hint="eastAsia"/>
          <w:color w:val="333333"/>
          <w:sz w:val="24"/>
        </w:rPr>
        <w:t>平台建设。强化企业科技创新主体地位，激励企业加大创新投入，深化产学研用结合，支持有实力的企业牵头重大攻关任务。加强健康、养老、助残等民生科技研发应用。加快形成支持全面创新的基础制度，深化科技评价、科技奖励、科研项目和经费管理制度改革，健全“揭榜挂帅”机制。加强知识产权保护，制定促进科技成果转化应用的政策举措。广泛开展科学普及。培育创新文化，弘扬科学家精神，涵养优良学风。扩大国际科技交流合作，营造具有全球竞争力的开放创新生态。</w:t>
      </w:r>
    </w:p>
    <w:p w14:paraId="0CE13185" w14:textId="77777777" w:rsidR="00686B02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全方位培养用好人才。实施更加积极、更加开放、更加有效的人才政策。推进高水平人才高地和吸引集聚人才平台建设，促进人才区域合理布局和协调发展。加快建设国家战略人才力量，努力培养造就更多一流科技领军人才和创新团队，完善拔尖创新人才发现和培养机制，建设基础研究人才培养平台，打造卓越工程师和高技能人才队伍，加大对青年科技人才支持力度。积极推进人才国际交流。加快建立以创新价值、能力、贡献为导向的人才评价体系，优化工作生活保障和表彰奖励制度。我们要在改善人才发展环境上持续用力，形成人尽其才、各展其能的良好局面。</w:t>
      </w:r>
    </w:p>
    <w:p w14:paraId="3635644E" w14:textId="77777777" w:rsidR="00686B02" w:rsidRDefault="00000000">
      <w:pPr>
        <w:widowControl/>
        <w:jc w:val="right"/>
        <w:rPr>
          <w:rFonts w:ascii="宋体" w:eastAsia="宋体" w:hAnsi="宋体" w:cs="宋体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——十四届全国人大二次会议上作《政府工作报告》2024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eastAsia="zh-Hans" w:bidi="ar"/>
        </w:rPr>
        <w:t>.</w:t>
      </w:r>
      <w:r>
        <w:rPr>
          <w:rFonts w:ascii="宋体" w:eastAsia="宋体" w:hAnsi="宋体" w:cs="宋体"/>
          <w:kern w:val="0"/>
          <w:sz w:val="24"/>
          <w:shd w:val="clear" w:color="auto" w:fill="FFFFFF"/>
          <w:lang w:eastAsia="zh-Hans" w:bidi="ar"/>
        </w:rPr>
        <w:t>0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3.</w:t>
      </w:r>
      <w:r>
        <w:rPr>
          <w:rFonts w:ascii="宋体" w:eastAsia="宋体" w:hAnsi="宋体" w:cs="宋体"/>
          <w:kern w:val="0"/>
          <w:sz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5</w:t>
      </w:r>
    </w:p>
    <w:p w14:paraId="3955C586" w14:textId="77777777" w:rsidR="00686B02" w:rsidRDefault="00686B02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</w:p>
    <w:p w14:paraId="2A878092" w14:textId="77777777" w:rsidR="00686B02" w:rsidRDefault="00686B02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</w:p>
    <w:p w14:paraId="2B5C212E" w14:textId="77777777" w:rsidR="00686B02" w:rsidRDefault="00000000">
      <w:pPr>
        <w:widowControl/>
        <w:jc w:val="left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eastAsia="zh-Hans" w:bidi="ar"/>
        </w:rPr>
        <w:t>材料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eastAsia="zh-Hans" w:bidi="ar"/>
        </w:rPr>
        <w:t>四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  <w:lang w:bidi="ar"/>
        </w:rPr>
        <w:t>）：</w:t>
      </w:r>
    </w:p>
    <w:p w14:paraId="0871A7C6" w14:textId="77777777" w:rsidR="00686B02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/>
          <w:color w:val="333333"/>
          <w:sz w:val="24"/>
        </w:rPr>
        <w:t>使命重在担当，奋斗创造未来。我们要更加紧密地团结在以习近平同志为核心的党中央周围，高举中国特色社会主义伟大旗帜，以习近平新时代中国特色社会主义思想为指导，坚定信心、开拓进取，努</w:t>
      </w:r>
      <w:r w:rsidRPr="00A1086F">
        <w:rPr>
          <w:rFonts w:ascii="宋体" w:eastAsia="宋体" w:hAnsi="宋体" w:cs="宋体"/>
          <w:color w:val="333333"/>
          <w:sz w:val="24"/>
          <w:highlight w:val="yellow"/>
        </w:rPr>
        <w:t>力完成全年经济社会发展目标任务，为以中国式现代化全面推进强国建设、民族</w:t>
      </w:r>
      <w:r>
        <w:rPr>
          <w:rFonts w:ascii="宋体" w:eastAsia="宋体" w:hAnsi="宋体" w:cs="宋体"/>
          <w:color w:val="333333"/>
          <w:sz w:val="24"/>
        </w:rPr>
        <w:t>复兴伟业不懈奋斗！</w:t>
      </w:r>
    </w:p>
    <w:p w14:paraId="0B3E040A" w14:textId="77777777" w:rsidR="00686B02" w:rsidRDefault="00000000">
      <w:pPr>
        <w:widowControl/>
        <w:jc w:val="right"/>
        <w:rPr>
          <w:rFonts w:ascii="宋体" w:eastAsia="宋体" w:hAnsi="宋体" w:cs="宋体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——十四届全国人大二次会议上作《政府工作报告》2024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eastAsia="zh-Hans" w:bidi="ar"/>
        </w:rPr>
        <w:t>.</w:t>
      </w:r>
      <w:r>
        <w:rPr>
          <w:rFonts w:ascii="宋体" w:eastAsia="宋体" w:hAnsi="宋体" w:cs="宋体"/>
          <w:kern w:val="0"/>
          <w:sz w:val="24"/>
          <w:shd w:val="clear" w:color="auto" w:fill="FFFFFF"/>
          <w:lang w:eastAsia="zh-Hans" w:bidi="ar"/>
        </w:rPr>
        <w:t>0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3.</w:t>
      </w:r>
      <w:r>
        <w:rPr>
          <w:rFonts w:ascii="宋体" w:eastAsia="宋体" w:hAnsi="宋体" w:cs="宋体"/>
          <w:kern w:val="0"/>
          <w:sz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5</w:t>
      </w:r>
    </w:p>
    <w:p w14:paraId="652DB472" w14:textId="77777777" w:rsidR="00686B02" w:rsidRDefault="00686B02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  <w:lang w:eastAsia="zh-Hans" w:bidi="ar"/>
        </w:rPr>
      </w:pPr>
    </w:p>
    <w:p w14:paraId="257057D3" w14:textId="77777777" w:rsidR="00686B02" w:rsidRDefault="00000000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  <w:lang w:eastAsia="zh-Hans"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  <w:lang w:eastAsia="zh-Hans" w:bidi="ar"/>
        </w:rPr>
        <w:t>题目</w:t>
      </w:r>
      <w:r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  <w:lang w:eastAsia="zh-Hans" w:bidi="ar"/>
        </w:rPr>
        <w:t>：</w:t>
      </w:r>
    </w:p>
    <w:p w14:paraId="61E60E65" w14:textId="77777777" w:rsidR="00686B02" w:rsidRDefault="00000000">
      <w:pPr>
        <w:pStyle w:val="a3"/>
        <w:widowControl/>
        <w:spacing w:before="300" w:beforeAutospacing="0" w:afterAutospacing="0"/>
        <w:ind w:firstLine="420"/>
        <w:rPr>
          <w:rFonts w:ascii="宋体" w:eastAsia="宋体" w:hAnsi="宋体" w:cs="宋体"/>
          <w:b/>
          <w:bCs/>
          <w:color w:val="333333"/>
          <w:kern w:val="2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333333"/>
          <w:kern w:val="2"/>
          <w:sz w:val="28"/>
          <w:szCs w:val="28"/>
          <w:lang w:eastAsia="zh-Hans"/>
        </w:rPr>
        <w:t>请同学深刻解读所给材料</w:t>
      </w:r>
      <w:r>
        <w:rPr>
          <w:rFonts w:ascii="宋体" w:eastAsia="宋体" w:hAnsi="宋体" w:cs="宋体"/>
          <w:b/>
          <w:bCs/>
          <w:color w:val="333333"/>
          <w:kern w:val="2"/>
          <w:sz w:val="28"/>
          <w:szCs w:val="28"/>
          <w:lang w:eastAsia="zh-Hans"/>
        </w:rPr>
        <w:t>，</w:t>
      </w:r>
      <w:r>
        <w:rPr>
          <w:rFonts w:ascii="宋体" w:eastAsia="宋体" w:hAnsi="宋体" w:cs="宋体" w:hint="eastAsia"/>
          <w:b/>
          <w:bCs/>
          <w:color w:val="333333"/>
          <w:kern w:val="2"/>
          <w:sz w:val="28"/>
          <w:szCs w:val="28"/>
          <w:lang w:eastAsia="zh-Hans"/>
        </w:rPr>
        <w:t>围绕“</w:t>
      </w:r>
      <w:r>
        <w:rPr>
          <w:rFonts w:ascii="宋体" w:eastAsia="宋体" w:hAnsi="宋体" w:cs="宋体"/>
          <w:b/>
          <w:bCs/>
          <w:color w:val="333333"/>
          <w:kern w:val="2"/>
          <w:sz w:val="28"/>
          <w:szCs w:val="28"/>
        </w:rPr>
        <w:t>使命重在担当，奋斗创造未来</w:t>
      </w:r>
      <w:r>
        <w:rPr>
          <w:rFonts w:ascii="宋体" w:eastAsia="宋体" w:hAnsi="宋体" w:cs="宋体" w:hint="eastAsia"/>
          <w:b/>
          <w:bCs/>
          <w:color w:val="333333"/>
          <w:kern w:val="2"/>
          <w:sz w:val="28"/>
          <w:szCs w:val="28"/>
          <w:lang w:eastAsia="zh-Hans"/>
        </w:rPr>
        <w:t>”为主题</w:t>
      </w:r>
      <w:r>
        <w:rPr>
          <w:rFonts w:ascii="宋体" w:eastAsia="宋体" w:hAnsi="宋体" w:cs="宋体"/>
          <w:b/>
          <w:bCs/>
          <w:color w:val="333333"/>
          <w:kern w:val="2"/>
          <w:sz w:val="28"/>
          <w:szCs w:val="28"/>
          <w:lang w:eastAsia="zh-Hans"/>
        </w:rPr>
        <w:t>，</w:t>
      </w:r>
      <w:r>
        <w:rPr>
          <w:rFonts w:ascii="宋体" w:eastAsia="宋体" w:hAnsi="宋体" w:cs="宋体" w:hint="eastAsia"/>
          <w:b/>
          <w:bCs/>
          <w:color w:val="333333"/>
          <w:kern w:val="2"/>
          <w:sz w:val="28"/>
          <w:szCs w:val="28"/>
          <w:lang w:eastAsia="zh-Hans"/>
        </w:rPr>
        <w:t>密切联系身边具体实际</w:t>
      </w:r>
      <w:r>
        <w:rPr>
          <w:rFonts w:ascii="宋体" w:eastAsia="宋体" w:hAnsi="宋体" w:cs="宋体"/>
          <w:b/>
          <w:bCs/>
          <w:color w:val="333333"/>
          <w:kern w:val="2"/>
          <w:sz w:val="28"/>
          <w:szCs w:val="28"/>
          <w:lang w:eastAsia="zh-Hans"/>
        </w:rPr>
        <w:t>，</w:t>
      </w:r>
      <w:r>
        <w:rPr>
          <w:rFonts w:ascii="宋体" w:eastAsia="宋体" w:hAnsi="宋体" w:cs="宋体" w:hint="eastAsia"/>
          <w:b/>
          <w:bCs/>
          <w:color w:val="333333"/>
          <w:kern w:val="2"/>
          <w:sz w:val="28"/>
          <w:szCs w:val="28"/>
          <w:lang w:eastAsia="zh-Hans"/>
        </w:rPr>
        <w:t>完成</w:t>
      </w:r>
      <w:r>
        <w:rPr>
          <w:rFonts w:ascii="宋体" w:eastAsia="宋体" w:hAnsi="宋体" w:cs="宋体"/>
          <w:b/>
          <w:bCs/>
          <w:color w:val="333333"/>
          <w:kern w:val="2"/>
          <w:sz w:val="28"/>
          <w:szCs w:val="28"/>
          <w:lang w:eastAsia="zh-Hans"/>
        </w:rPr>
        <w:t>1200-1500</w:t>
      </w:r>
      <w:r>
        <w:rPr>
          <w:rFonts w:ascii="宋体" w:eastAsia="宋体" w:hAnsi="宋体" w:cs="宋体" w:hint="eastAsia"/>
          <w:b/>
          <w:bCs/>
          <w:color w:val="333333"/>
          <w:kern w:val="2"/>
          <w:sz w:val="28"/>
          <w:szCs w:val="28"/>
          <w:lang w:eastAsia="zh-Hans"/>
        </w:rPr>
        <w:t>字小论文</w:t>
      </w:r>
      <w:r>
        <w:rPr>
          <w:rFonts w:ascii="宋体" w:eastAsia="宋体" w:hAnsi="宋体" w:cs="宋体"/>
          <w:b/>
          <w:bCs/>
          <w:color w:val="333333"/>
          <w:kern w:val="2"/>
          <w:sz w:val="28"/>
          <w:szCs w:val="28"/>
          <w:lang w:eastAsia="zh-Hans"/>
        </w:rPr>
        <w:t>。</w:t>
      </w:r>
    </w:p>
    <w:p w14:paraId="51C3233D" w14:textId="77777777" w:rsidR="00686B02" w:rsidRDefault="00686B02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sz w:val="24"/>
        </w:rPr>
      </w:pPr>
    </w:p>
    <w:sectPr w:rsidR="0068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M4MjIyYjg4Mjk4NzVjYWVjZGEwNzk0M2NkNWQ3MjYifQ=="/>
  </w:docVars>
  <w:rsids>
    <w:rsidRoot w:val="FDCCA26C"/>
    <w:rsid w:val="FDCCA26C"/>
    <w:rsid w:val="00686B02"/>
    <w:rsid w:val="00A1086F"/>
    <w:rsid w:val="00E32FFE"/>
    <w:rsid w:val="2162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8B579"/>
  <w15:docId w15:val="{6C84BD7A-7556-4810-9821-B03C8067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包幸福媳妇儿</dc:creator>
  <cp:lastModifiedBy>YE JO</cp:lastModifiedBy>
  <cp:revision>2</cp:revision>
  <dcterms:created xsi:type="dcterms:W3CDTF">2024-05-05T13:49:00Z</dcterms:created>
  <dcterms:modified xsi:type="dcterms:W3CDTF">2024-05-29T13:20:00Z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18DC77AD7F2B4A0F891E2C02B588542E_13</vt:lpwstr>
  </property>
</Properties>
</file>