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这家氢能企业完成A轮融资</w:t>
      </w:r>
    </w:p>
    <w:p>
      <w:r>
        <w:t>原文链接: https://news.bjx.com.cn/html/20250619/1447207.shtml</w:t>
      </w:r>
    </w:p>
    <w:p>
      <w:r>
        <w:t>发布日期: 2025-06-19</w:t>
      </w:r>
    </w:p>
    <w:p>
      <w:r>
        <w:t>内容:</w:t>
      </w:r>
    </w:p>
    <w:p>
      <w:r>
        <w:t>北极星氢能网获悉，近日，由山西美锦能源股份有限公司（以下简称：美锦能源）与张久俊院士团队联合创立的骊能新能源科技（北京）有限公司（以下简称"骊能新能源"）宣布完成A轮融资，标志着国内气体扩散层（GDL）领域的技术突破并获得资本市场高度青睐，同时也标志着美锦氢能产业链的关键环节——碳纸项目正以硬核实力书写国产替代新篇章。</w:t>
        <w:br/>
        <w:t>骊能新能源于2022年9月成立于北京市大兴区，是一家专注于氢能、储能等新兴产业应用材料研发与制造的高科技企业。企业生产经营的碳纸，是一种应用高性能碳纤维制造的先进二维复合材料，可作为燃料电池气体扩散层（GDL）、质子交换膜（PEM）电解槽气液扩散层、液流电池电极等。碳纸GDL是质子交换膜燃料电池膜电极的重要组成部分，氢燃料电池汽车八大核心零部件之一。</w:t>
        <w:br/>
        <w:t>2024年启动“碳纸扩散层（GDL）研发制造项目一期”，总投资超1亿元，建设碳纸工程技术研发中心以及碳纸材料制造基地。其中，工程技术研发中心将建设技术研发实验室，主要职能为产品的质量检验、新材料的研发、定制化产品的开发，保障公司产品紧跟行业及市场发展形势，保持其技术领先优势。碳纸材料制造基地将建设碳纸生产线，年产能72万平方米，主要职能为生产燃料电池碳纸扩散层材料、PEM 电解槽扩散层材料、液流电池电极材料等产品。预计2025年底项目建成并投产运营后，骊能新能源将成为国产首个碳纸产业基地，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