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扩产能！未来氢能取得AEM制氢技术核心材料投资项目备案</w:t>
      </w:r>
    </w:p>
    <w:p>
      <w:r>
        <w:t>原文链接: https://news.bjx.com.cn/html/20250630/1448686.shtml</w:t>
      </w:r>
    </w:p>
    <w:p>
      <w:r>
        <w:t>发布日期: 2025-06-30</w:t>
      </w:r>
    </w:p>
    <w:p>
      <w:r>
        <w:t>内容:</w:t>
      </w:r>
    </w:p>
    <w:p>
      <w:r>
        <w:t>未来氢能于近日取得北京市非政府投资工业和信息化固定资产投资项目—“制氢用催化剂、阳极电极、阴极电极等材料产线扩产项目备案”，《京昌经信局备〔2025〕34 号》</w:t>
        <w:br/>
        <w:t>未来氢能2021年成立并落地于北京昌平区未来氢能产业基地后，锚定新一代电解水技术研发方向，近年来完成了AEM制氢技术核心材料的研发，从小试、中试、及量产，实现了产品化的从有到优，从优到量的全面提升，经过了长期项目验证，AEM技术取得了长足的发展，年初搭载了未来氢能核心材料并成功交付的单槽125千瓦电解槽成功运行，今年未来氢能将协同产业链打造单槽兆瓦级示范项目，随着市场需求持续放大，我们将对现有产线进一步优化扩产，实现标准化和自动化生产。</w:t>
        <w:br/>
        <w:t>备案项目总投资约3187.94万元，扩产技改内容包括购置研发和生产设备，改造完成后可实现半自动化生产，催化剂产能从目前百克级/天，达到日产公斤级/天，阴极/阳极电极由年产5000平方米增加到年产5万平方米，可实现年产值约两亿元。</w:t>
        <w:br/>
        <w:t>AEM电解水制氢已进入产品导入期，整槽工艺和关键材料性能的验证和提升，依赖于制备技术和工艺的标准化体系构建与严格落地执行。未来氢能建立了涵盖材料研发与生产、工艺流程、质量检测等全链条的标准化规范，并确保在实际生产中严格落实，实现工艺参数的精准控制与稳定输出，有效提升产品一致性和可靠性，加速技术从导入期向规模化应用阶段迈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