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鸿基创能申请港交所主板上市</w:t>
      </w:r>
    </w:p>
    <w:p>
      <w:r>
        <w:t>原文链接: https://news.bjx.com.cn/html/20250630/1448681.shtml</w:t>
      </w:r>
    </w:p>
    <w:p>
      <w:r>
        <w:t>发布日期: 2025-06-30</w:t>
      </w:r>
    </w:p>
    <w:p>
      <w:r>
        <w:t>内容:</w:t>
      </w:r>
    </w:p>
    <w:p>
      <w:r>
        <w:t>据港交所6月27日披露，鸿基创能科技（广州）股份有限公司向港交所主板提交上市申请，海通国际、中信证券为联席保荐人。</w:t>
        <w:br/>
        <w:t>鸿基创能自述为全球领先的独立膜电极供应商，专门从事催化剂涂层质子膜(CCM)及膜电极(MEA)的研发、量产及商业化。公司致力于将实验室技术进步转化为氢燃料电池CCM及MEA的商业化和规模化生产，并促进电解槽CCM及MEA的性能提升及大规模商业化。</w:t>
        <w:br/>
        <w:t>财务方面，于2022-2024年，公司收入分别为2.49亿、1.67亿、2.63亿元人民币；对应同期，母公司拥有人应占年度亏损分别为4252.1万、1.32亿、1.32亿元人民币。针对连年亏损，公司的解释主要是毛利率极低、研发费用较高、金融资产减值（主要为应收账款）、股份支付等方面。</w:t>
        <w:br/>
        <w:t>公开信息显示，鸿基创能于2017年12月在广州开发区设立，总部设在广州市黄埔区宏远路8号，2021年-2023年连续三年获评广州市未来独角兽企业。鸿基创能专注于燃料电池膜电极和PEM电解水制氢膜电极的开发生产，已建成全国规模最大的膜电极自动化生产线，年产能分别达到60万平米和30万平米（可满足每年约7万辆燃料电池汽车膜电极需求），产品核心技术自主可控，是我国一家实现燃料电池膜电极和PEM电解水制氢膜电极大规模产业化的国家专精特新“小巨人”企业，打破国外对我国燃料电池关键材料的技术垄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