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亿华通：预计2025年上半年营收同比下降约53%</w:t>
      </w:r>
    </w:p>
    <w:p>
      <w:r>
        <w:t>原文链接: https://news.bjx.com.cn/html/20250815/1456136.shtml</w:t>
      </w:r>
    </w:p>
    <w:p>
      <w:r>
        <w:t>发布日期: 2025-08-15</w:t>
      </w:r>
    </w:p>
    <w:p>
      <w:r>
        <w:t>内容:</w:t>
      </w:r>
    </w:p>
    <w:p>
      <w:r>
        <w:t>北极星氢能网获悉，8月13日，亿华通公告显示，预计截至2025年6月30日的六个月内，公司营业收入将较截至2024年6月30日的六个月营业收入约1.54亿元减少约53%。该变动主要由于(1)由于市场需求整体下降，导致燃料电池行业规模同比减少；及(2)鉴于当前流动资金状况，本公司採取谨慎的扩张营销战略，保障资金安全的同时，导致报告期间产品销售量减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