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国华投资“绿港氢城”绿氨项目完成电解槽设备吊装</w:t>
      </w:r>
    </w:p>
    <w:p>
      <w:r>
        <w:t>原文链接: https://news.bjx.com.cn/html/20250827/1458008.shtml</w:t>
      </w:r>
    </w:p>
    <w:p>
      <w:r>
        <w:t>发布日期: 2025-08-27</w:t>
      </w:r>
    </w:p>
    <w:p>
      <w:r>
        <w:t>内容:</w:t>
      </w:r>
    </w:p>
    <w:p>
      <w:r>
        <w:t>北极星氢能网获悉，近日，国华投资河北分公司“绿港氢城”绿氨项目顺利完成13台1000Nm³/h电解槽设备入场及吊装工作。这一重要节点的圆满完成，标志着项目正式进入核心设备安装阶段，为整体工程顺利推进奠定了坚实基础。</w:t>
        <w:br/>
        <w:t>面对单台设备净重达53吨、体积庞大（长6700mm、宽2352mm、高2526mm）以及现场运输条件复杂等多重挑战，该项目部始终坚持“安全第一、预防为主”原则，严格执行国华投资工程建设高风险作业安全管理规定，量身制定“三措两案”，建立全流程管控机制。具体措施包括：细致规划起重机具选型、吊点设置、作业路径及人员分工，全面开展风险评估并制定防控措施，同时密切跟踪气象条件、科学选择作业窗口期，确保吊装作业安全高效完成。</w:t>
        <w:br/>
        <w:t>作为国家氢能产业示范工程的重要实践，该项目通过创新技术方案有效应对氢能“储运难”的行业瓶颈，成为连接绿色能源生产、储存与应用全链条的关键枢纽，推动绿能利用从概念走向产业化。项目全部投产后，将依托绿色电力，采用柔性制氢工艺生产绿氢，并实现一期年产5万吨、远期年产10万吨绿氨的目标，预计每年可减排二氧化碳40万吨以上。此举不仅有助于优化京津冀区域能源结构、推动化工行业绿色低碳转型，还将在氢能技术创新与产业融合方面发挥示范效应，带动产业链协同发展，为我国“双碳”目标实现提供有力支撑。</w:t>
        <w:br/>
        <w:t>该项目部将以此次电解槽吊装为新的起点，进一步加强安全、质量与进度的协同管理，严格把握施工标准，高效推动后续工程节点，全力以赴保障项目按时投产、高质量运行。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