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首件吊装完成！中能建石家庄鹿泉区光伏制氢及氢能配套产业项目建设按下“加速键”</w:t>
      </w:r>
    </w:p>
    <w:p>
      <w:r>
        <w:t>原文链接: http://h2.china-nengyuan.com/news/233731.html</w:t>
      </w:r>
    </w:p>
    <w:p>
      <w:r>
        <w:t>发布日期: 2025-09-15</w:t>
      </w:r>
    </w:p>
    <w:p>
      <w:r>
        <w:t>内容:</w:t>
      </w:r>
    </w:p>
    <w:p>
      <w:r>
        <w:t>首件吊装完成！中能建石家庄鹿泉区光伏制氢及氢能配套产业项目建设按下“加速键”</w:t>
        <w:br/>
        <w:t>来源：能建氢能　 人气：281　 更新时间：2025-09-15 08:56:55 　　[我要投稿]</w:t>
        <w:br/>
        <w:br/>
        <w:t xml:space="preserve">　　9月11日，随着一台重达15吨的隔膜压缩机精准就位，中能建石家庄鹿泉区光伏制氢及氢能配套产业项目（以下简称“石家庄项目”）首件核心设备圆满完成吊装任务。</w:t>
        <w:br/>
        <w:br/>
        <w:t xml:space="preserve">　　此举标志着石家庄项目建设取得新突破，项目正式从基础施工阶段进入核心设备安装阶段。吊装过程中，项目团队精心组织、科学施工，以追求极致的工匠精神和精益求精的专业素养，成功完成施工中的诸多关键任务，整个过程平稳、有序且安全可控。此次吊装成功为后续施工按下“加速键”，有力保障了项目建设既定工期目标的顺利实现。</w:t>
        <w:br/>
        <w:br/>
        <w:t xml:space="preserve">　　石家庄项目位于河北省石家庄市鹿泉区，是河北省重点项目，规划年产绿氢2600吨，建成后将推动石家庄地区氢能产业结构布局优化提升，填补区域绿氢规模化供给的空白，有效带动上下游产业协同发展。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