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金风科技预中标中核56000Nm³/h制氢项目</w:t>
      </w:r>
    </w:p>
    <w:p>
      <w:r>
        <w:t>原文链接: https://news.bjx.com.cn/html/20250612/1446026.shtml</w:t>
      </w:r>
    </w:p>
    <w:p>
      <w:r>
        <w:t>发布日期: 2025-06-12</w:t>
      </w:r>
    </w:p>
    <w:p>
      <w:r>
        <w:t>内容:</w:t>
      </w:r>
    </w:p>
    <w:p>
      <w:r>
        <w:t>北极星氢能网获悉，6月10日，中核科右前旗风储制氢制氨一体化示范项目制氢部分PMC服务中标候选人公示。信息显示，中标候选人分别为金风绿色能源化工科技（江苏）有限公司，投标报价1355.08万；吉林梦溪工程管理有限公司，投标报价1950.00万。</w:t>
        <w:br/>
        <w:t>5月16日，中核科右前旗风储制氢制氨一体化示范项目制氢部分PMC服务招标公告发布。项目规模为：中核科右前旗风储制氢制氨一体化示范项目位于内蒙古自治区兴安盟科尔沁右翼前旗东部，本次风储制氢制氨一体化示范项目为并网型示范项目，规划总容量风电 50万kW，风电场年发电量为 16.90 亿kWh;配套装机容量10%、2h，即容量为 50MW/100MWh 的磷酸铁锂储能设备。同时，在兴安盟工业园区建设大规模风电制氢系统，主要包括制氢和储氢:制氢规模 56000Nm3/h，包括气液分离、纯化等系统，以及配套的压缩空气、冷却水等附属系统;储规模为 37.4t.</w:t>
        <w:br/>
        <w:t>PMC 工作范围主要包括：</w:t>
        <w:br/>
        <w:t>项目管理以 PMC 的形式进行，负责项目设计管理、施工管理、进度控制、质量管理、HSE 管理、仓储运输管理:全过程采购管理(仅包含请购文件、技术协议评审)、合同管理、监造管理、ISCC EU认证获证管理等全部工作进行统一协调管理（不包含支付第三方认证机构收取的认证费用），为全过程管理交钥匙工程。</w:t>
        <w:br/>
        <w:t>企查查信息显示，金风绿色能源化工科技（江苏）有限公司成立于2022-11-18，法定代表人为刘日新，注册资本为56600万元，经营范围包含技术服务、技术开发、技术咨询、技术交流、技术转让、技术推广；新兴能源技术研发；化工产品销售（不含许可类化工产品）；化工产品生产（不含许可类化工产品）；气体、液体分离及纯净设备制造；工程技术服务（规划管理、勘察、设计、监理除外）；货物进出口；技术进出口；工程管理服务；对外承包工程；土石方工程施工；普通机械设备安装服务。</w:t>
        <w:br/>
        <w:t>金风绿色能源化工科技（江苏）有限公司由金风科技股份有限公司100%持股。</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