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5大方向17个应用！湖南省工业低碳氢应用场景公示</w:t>
      </w:r>
    </w:p>
    <w:p>
      <w:r>
        <w:t>原文链接: https://news.bjx.com.cn/html/20250623/1447544.shtml</w:t>
      </w:r>
    </w:p>
    <w:p>
      <w:r>
        <w:t>发布日期: 2025-06-23</w:t>
      </w:r>
    </w:p>
    <w:p>
      <w:r>
        <w:t>内容:</w:t>
      </w:r>
    </w:p>
    <w:p>
      <w:r>
        <w:t>北极星氢能网获悉，6月19日，湖南省发布工业低碳氢应用场景公示。</w:t>
        <w:br/>
        <w:t>本次公示共有清洁氢替代、氢冶金、氢氮耦合、交通装备、绿色微电网5个方向，17个工业低碳氢应用场景公示。</w:t>
        <w:br/>
        <w:t>具体如下：</w:t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