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吉电股份拟建设年产20万吨绿色甲醇项目</w:t>
      </w:r>
    </w:p>
    <w:p>
      <w:r>
        <w:t>原文链接: https://news.bjx.com.cn/html/20250624/1447793.shtml</w:t>
      </w:r>
    </w:p>
    <w:p>
      <w:r>
        <w:t>发布日期: 2025-06-24</w:t>
      </w:r>
    </w:p>
    <w:p>
      <w:r>
        <w:t>内容:</w:t>
      </w:r>
    </w:p>
    <w:p>
      <w:r>
        <w:t>北极星氢能网获悉，6月20日，吉电股份发布公告称，其控股子公司上海吉远绿色能源有限公司的全资子公司吉远（四平）绿色能源有限公司，拟投资49.2亿元建设梨树绿色甲醇创新示范项目。</w:t>
        <w:br/>
        <w:t>根据公告，该项目位于吉林省四平市梨树县。新能源部分规划布局风电装机规模40万千瓦，新建一座220千伏升压站，配套建设10兆瓦/20兆瓦时的电化学储能装置（或采用租赁方式）；合成甲醇部分则将建设20万吨级甲醇合成装置，化工厂区位于四平新型工业化经济开发区（D级化工园区），其配套设施满足项目需求。在投资与效益方面，该项目建设工期预计27个月，资本金财务内部收益率为8.88%，投资回收期为13.86年。资金来源方面，项目资本金不低于总投资的20%，剩余建设资金将通过银行贷款方式筹集。</w:t>
        <w:br/>
        <w:t>吉电股份是国家电力投资集团有限公司控制的上市公司。主要业务涉及新能源、综合智慧能源、氢能、储能及火电、供热、生物质能、电站服务等领域。2024年，吉电股份的营业收入构成为电力产品占比87.42%，热力产品占比9.24%，运维和综合智慧能源及其他占比3.33%。</w:t>
        <w:br/>
        <w:t>吉电股份表示，当前国家大力实施可再生能源替代，氢能产业备受关注。绿色甲醇可直接用于传统船用燃料替代，是远洋运输业深度脱碳、加快实现“双碳”目标的重要路径，是解决国家能源安全问题和能源发展的方向。作为公司落地的首个绿色甲醇创新示范项目，该项目的建设不仅标志着公司在绿色氢基能源领域迈出关键一步，更将充分发挥示范引领作用，有力推动公司绿色氢基能源平台的整体布局和加速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