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浙江象山县：招商氢能飞行器制造项目</w:t>
      </w:r>
    </w:p>
    <w:p>
      <w:r>
        <w:t>原文链接: https://news.bjx.com.cn/html/20250627/1448521.shtml</w:t>
      </w:r>
    </w:p>
    <w:p>
      <w:r>
        <w:t>发布日期: 2025-06-27</w:t>
      </w:r>
    </w:p>
    <w:p>
      <w:r>
        <w:t>内容:</w:t>
      </w:r>
    </w:p>
    <w:p>
      <w:r>
        <w:t>北极星氢能网获悉，6月20日，象山县人民政府发布了《关于印发象山县低空经济“百岛千航”实施方案（2025—2030年）的通知》。</w:t>
        <w:br/>
        <w:t>《通知》提出：</w:t>
        <w:br/>
        <w:t>主要目标</w:t>
        <w:br/>
        <w:t>产业发展初具规模。培育壮大一批具有市场竞争力的低空经济企业，着力构建以生产重载长航时低空运载器为主体，以低空安全监测、数据通信及动态感知一体化装备为特色的象山低空产业基地，形成较为完整的产业链条，在低空飞行器制造、运营服务、科技创新等领域取得显著进展。以低空智联交通网为牵引，聚焦海洋经济，着力产业链延伸，引导氢能储能装备、海上移动补给平台、海洋智能装备制造等新兴领域集聚象山。到2030年，争取招引低空经济相关企业50家以上，培育聚集产业链相关企业70家以上，产业规模达100亿元。</w:t>
        <w:br/>
        <w:t>主要任务</w:t>
        <w:br/>
        <w:t>支持企业做大做强。坚持“内培外引、引育并举”的工作思路，围绕整机、零部件、材料、动力四大关键领域，引导本地企业向无人机关联产业拓展，重点支持云朵、云泊、派丽肯、瑞鑫、安吉华等低空经济骨干企业做大做强。全力开展低空经济招商引资，招引一批垂直起降飞行器、氢能飞行器等整机、核心部件、高性能材料、动力设备等制造项目，切实打造低空经济企业梯度成长培育体系。（海经区海洋产业促进局、县经信局牵头，县发改局、县投资促进中心等单位配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