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派瑞氢能首套“电解CO2转化集成装置”成功交付</w:t>
      </w:r>
    </w:p>
    <w:p>
      <w:r>
        <w:t>原文链接: https://news.bjx.com.cn/html/20250702/1449160.shtml</w:t>
      </w:r>
    </w:p>
    <w:p>
      <w:r>
        <w:t>发布日期: 2025-07-02</w:t>
      </w:r>
    </w:p>
    <w:p>
      <w:r>
        <w:t>内容:</w:t>
      </w:r>
    </w:p>
    <w:p>
      <w:r>
        <w:t>北极星氢能网获悉，近日，中船集团第七一八研究所旗下中船（邯郸）派瑞氢能科技有限公司（简称“派瑞氢能”）自主生产的首套“电解CO2转化集成装置”已顺利向客户完成交付，该成果标志着派瑞氢能在二氧化碳电化学资源化利用领域取得重大技术突破，为工业端碳减排提供全新解决方案。</w:t>
        <w:br/>
        <w:t>该装置采用派瑞氢能自主生产的高效电解槽结构与先进工艺系统，同时具备三大创新性能：</w:t>
        <w:br/>
        <w:t>高效转化能力：在额定功率5kW工况下，CO₂单程转化率超过30%，每小时可转化CO₂≥0.4Nm³；</w:t>
        <w:br/>
        <w:t>宽负荷稳定性：在30%-120%额定负荷范围内，CO选择性持续≥80%，系统能量转化效率稳定在20%以上；</w:t>
        <w:br/>
        <w:t>工业级可靠性：连续72小时运行测试显示，装置反应稳定性优异，实际运行参数与理论值偏差≤5%，验证了装置的工程化应用潜力。</w:t>
        <w:br/>
        <w:br/>
        <w:t>作为多功能集成平台，该装置不仅具备额定功率下的稳定电解能力，同时创新性地整合了四大核心测试功能——包括MEA电解槽极化曲线测试、CO₂转化率实时计算、CO选择性精准分析及设备寿命系统评估，形成集生产操作与科研检测于一体的综合解决方案。</w:t>
        <w:br/>
        <w:t>将二氧化碳资源化利用（消纳）与可再生能源（绿电）相结合，是助力实现“双碳”目标的新型技术路径。 首套电解CO₂转化集成装置的成功研制与交付，不仅充分彰显了派瑞氢能在绿氢及其衍生技术领域雄厚的研发基础与技术实力，更标志着公司在积极响应国家减碳战略背景下，于绿电转化与碳资源利用技术革新方面取得了实质性突破，为后续规模化应用奠定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