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上市公司氢能重大资产重组，告吹！</w:t>
      </w:r>
    </w:p>
    <w:p>
      <w:r>
        <w:t>原文链接: https://news.bjx.com.cn/html/20250814/1455973.shtml</w:t>
      </w:r>
    </w:p>
    <w:p>
      <w:r>
        <w:t>发布日期: 2025-08-14</w:t>
      </w:r>
    </w:p>
    <w:p>
      <w:r>
        <w:t>内容:</w:t>
      </w:r>
    </w:p>
    <w:p>
      <w:r>
        <w:t>北极星氢能网获悉，今年1月，金利华电发布公告称，公司拟以发行股份及支付现金方式购买北京海德利森科技有限公司100%股权，并拟向上市公司控股股东发行股份募集配套资金。本次交易构成关联交易，预计构成重大资产重组，但不构成重组上市。然而，8月8日晚间，金利华电披露公告称，公司终止筹划重大资产重组。</w:t>
        <w:br/>
        <w:t>金利华电表示，由于交易各方未就本次交易的全部关键条款达成一致意见，交易各方决定终止本次交易。目前，公司各项业务经营情况正常，终止本次交易对公司现有生产经营活动和战略发展不会造成重大不利影响，不存在损害公司及股东尤其是中小股东利益的情形。</w:t>
        <w:br/>
        <w:t>据悉，北京海德利森科技有限公司成立于2001年，是一家专注于高压流体装备研发、生产、销售、服务于一体的高新技术企业和专精特新“小巨人”企业，高压高纯气体增压系统与高压检测系统的引领者，国内早期从事氢能安全装备研发和加氢站装备制造的企业。</w:t>
        <w:br/>
        <w:t>详情如下：</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