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美锦能源筹划冲击H股</w:t>
      </w:r>
    </w:p>
    <w:p>
      <w:r>
        <w:t>原文链接: https://news.bjx.com.cn/html/20250818/1456312.shtml</w:t>
      </w:r>
    </w:p>
    <w:p>
      <w:r>
        <w:t>发布日期: 2025-08-18</w:t>
      </w:r>
    </w:p>
    <w:p>
      <w:r>
        <w:t>内容:</w:t>
      </w:r>
    </w:p>
    <w:p>
      <w:r>
        <w:t>北极星氢能网获悉，8月16日，山西美锦能源股份有限公司（简称：美锦能源）发布《关于筹划公司在香港联合交易所有限公司上市的提示性公告》。</w:t>
        <w:br/>
        <w:t>公告称，为深入推进美锦能源的全球化战略布局，打造国际化资本运作平台，同时提升公司在国际市场的综合竞争实力，增强境外融资能力，进一步提高公司治理透明度和规范化水平，公司目前正在筹划境外发行股份（H股）并在香港联合交易所有限公司（简称“香港联交所”）上市事项（简称“本次H股发行上市”），公司正在与相关中介机构就本次H股发行上市的具体推进工作进行商讨，相关细节尚未确定。</w:t>
        <w:br/>
        <w:t>据悉，美锦能源，是全国最大的独立商品焦和炼焦煤生产商之一，是氢能全产业链布局的头部企业，是能源行业率先转型升级的革新者。美锦能源于2007年借壳上市，2015年完成重大资产重组，目前拥有焦化产能715万吨/年，煤炭产能630万吨/年，已形成“煤-焦-气-化”完整产业链。</w:t>
        <w:br/>
        <w:t>公告如下：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