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中国石化：下半年推进氢能交通业务发展！</w:t>
      </w:r>
    </w:p>
    <w:p>
      <w:r>
        <w:t>原文链接: https://news.bjx.com.cn/html/20250826/1457712.shtml</w:t>
      </w:r>
    </w:p>
    <w:p>
      <w:r>
        <w:t>发布日期: 2025-08-26</w:t>
      </w:r>
    </w:p>
    <w:p>
      <w:r>
        <w:t>内容:</w:t>
      </w:r>
    </w:p>
    <w:p>
      <w:r>
        <w:t>北极星氢能网获悉，近日，中国石化发布2025年半年度报告。</w:t>
        <w:br/>
        <w:t>2025年上半年，国际原油价格震荡下行，国内汽柴油需求下降，化工毛利低迷。中国石化全面统筹生产经营一体化和区域优化、全力拓市扩销、深化挖潜增效，多措并举应对市场变化，实现营业收入为人民币14,091亿元，同比降低10.6%；经营收益为人民币334亿元，同比降低34.5%。</w:t>
        <w:br/>
        <w:br/>
        <w:t>2025年上半年，面对激烈的市场竞争，中国石化充分发挥一体化优势和网络优势，积极打造“油气氢电服”综合能源服务商。大力拓市扩销，高标号汽油占比持续增长。加快加气和充换电网络发展，车用LNG经营量和充电量同比大幅增长，LNG零售市场占有率国内第一；示范带动氢能规模化利用，境外首座加氢站投营。持续丰富易捷服务生态，提升非油业务经营质量。上半年，成品油总经销量11,214万吨，其中境内成品油总经销量8,705万吨。</w:t>
        <w:br/>
        <w:t>报告还指出，2025年上半年，中国石化大力推进关键核心技术攻关，打造能源领域国家级创新平台，创新驱动发展成果丰硕。非均相复合驱大幅提高采收率技术体系取得突破，打造Geodrill智能钻井自主软件体系。针状焦产品成功应用于大直径石墨电极。自主知识产权POE工业示范装置、40万吨/年丙烯腈装置开车成功。海水制氢工厂化试验装置完成性能与稳定性测试。长城大模型上线投用，面向石化行业的流程模拟软件OPEN完成迭代开发。</w:t>
        <w:br/>
        <w:t>同时，中国石化持续优化投资项目管理，2025年上半年资本支出人民币438亿元，其中勘探及开发板块资本支出人民币276亿元，主要用于济阳、塔河等原油产能建设，丁山-东溪等天然气产能建设以及油气储运设施建设；炼油板块资本支出人民币55亿元，主要用于茂名炼油转型升级、广州石化技术改造等项目建设；营销及分销板块资本支出人民币28亿元，主要用于“油气氢电服”综合加能站网络发展、现有终端销售网络改造、非油业务等项目；化工板块资本支出人民币73亿元，主要用于茂名、河南乙烯及九江芳烃等项目建设；总部及其他资本支出人民币5亿元，主要用于科技研发和数智化等项目建设。</w:t>
        <w:br/>
        <w:t>展望2025年下半年，中国石化将充分发挥一体化优势，坚持量价统筹调控资源，持续优化网络布局，大力拓市扩销。加快加气、充换电网络建设，拓展电能运营生态体系，推进氢能交通业务发展，加强非油业务自有品牌建设，打造国内最大的车主出行服务平台，加快向“油气氢电服”综合能源服务商转型。下半年计划境内成品油经销量8,980万吨。</w:t>
        <w:br/>
        <w:t>据了解，中国石化H股于2000年10月18日在中国香港联合交易所上市；A股于2001年8月8日在上海证券交易所上市。中国石化是中国最大的一体化能源化工公司之一，主要从事石油与天然气勘探开采、管道运输、销售；石油炼制、石油化工、煤化工、化纤及其他化工产品的生产与销售、储运；石油、天然气、石油产品、石油化工及其他化工产品和其他商品、技术的进出口、代理进出口业务；技术、信息的研究、开发、应用；氢气的制备、储存、运输和销售等氢能业务及相关服务；新能源汽车充换电，太阳能、风能等新能源发电业务及相关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