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国鸿氢能半年报：营收同比下降55.7%，亏损收窄13.2%</w:t>
      </w:r>
    </w:p>
    <w:p>
      <w:r>
        <w:t>原文链接: https://news.bjx.com.cn/html/20250827/1458000.shtml</w:t>
      </w:r>
    </w:p>
    <w:p>
      <w:r>
        <w:t>发布日期: 2025-08-27</w:t>
      </w:r>
    </w:p>
    <w:p>
      <w:r>
        <w:t>内容:</w:t>
      </w:r>
    </w:p>
    <w:p>
      <w:r>
        <w:t>北极星氢能网获悉，2025年8月25日，国鸿氢能发布中期业绩公告，公告显示，截至2025年6月30日止六个月，公司总收入约为人民币5890万元，较去年同期大幅减少55.7%；公司拥有人应占亏损约为人民币1.84亿元，较去年同期减少13.2%；每股基本亏损为人民币0.36元，较去年同期每股基本亏损人民币0.41元减少12.2%。国鸿氢能在2025上半年延续了2024年营收下滑的趋势，反映出氢能行业商业化进程仍面临挑战，但亏损收窄表明公司在成本控制和运营效率方面取得一定进展。</w:t>
        <w:br/>
        <w:br/>
        <w:t>公司对期内收入同比减少的解释是主要由于(1)事实上氢燃料电池行业仍处于商业化的早期阶段，基础设施建设不完善，及行业正经历从“政策示范驱动型”向“场景商业化驱动型”转变的适应性调整，短期内市场销量承压，对市场推广及项目落地节奏有所影响;(2)氢燃料电池系统的平均售价下跌。</w:t>
        <w:br/>
        <w:t>根据财报，报告期内国鸿氢能的燃料电池系统产品平均价格为3,304.9元/千瓦，同比下降12.56%，电堆产品平均价格已经达到841.8元/千瓦，同比下降53.22%；燃料电池系统产品毛利由往期2.4%回升至报告期间的约12.6%，电堆毛利由往期47.2%降至报告期间的-29.5%，出现了负毛利。</w:t>
        <w:br/>
        <w:br/>
        <w:br/>
        <w:t>系统产品与维修服务收入合计占比约94%。在收入构成方面，国鸿氢能收入主要包括销售氢燃料电池系统、氢燃料电池系统部件、氢燃料电池电堆及其他的所得款项，其中燃料电池系统销售收入及维修服务收入占比分别达到了约62%和32%。</w:t>
        <w:br/>
        <w:br/>
        <w:t>系统价格下降12.56%，电堆价格下降53.22%。国鸿氢能氢燃料电池系统的平均售价由过往期间的人民币3779.4元/千瓦下跌至报告期间的人民币3,304.9元/千瓦，而我们氢燃料电池电堆的平均售价由过往期间的人民币1,799.4元/千瓦下跌至报告期间的人民币841.8元/千瓦。公司解释主要是由于氢能燃料电池行业的发展及市场竞争激烈，氢燃料电池产品行业售价下跌。</w:t>
        <w:br/>
        <w:t>系统产品销售大跌67.98%。国鸿氢能氢燃料电池电堆销量由过往期间的240.0千瓦增加至报告期间的2,396.1千瓦，主要是由于报告期间新拓客户的业务规划需求。其氢燃料电池系统的销量由过往期间的34,635.0千瓦减少至报告期间的11,090.0千瓦，主要是由于(i)行业发展过程中阶段性的多重因素影响，推迟了市场推广及项目落地节奏，公司氢燃料电池系统销量下滑；及(ii)受行业季节性因素影响，主要销量将在下半年实现。</w:t>
        <w:br/>
        <w:br/>
        <w:t>系统毛利回升10个点。国鸿毛利由过往期间的约人民币0.8百万元大幅增加301.9%至报告期间的约人民币3.1百万元，本集团的毛利率由过往期间的约0.6%增加至报告期间的约5.3%，燃料电池系统毛利由往期2.4%回升至报告期间的约12.6%。主要是由于(i)报告期间本集团氢能燃料电池系统进入批量生产结算，单位销售成本下降；(ii)报告期间，本集团提供的氢燃料电池车辆维修服务毛利率较高。报告期间，本集团氢燃料电池电堆负毛利主要是市场价格降幅较大所致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