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日产能规划10吨 ！旭阳乐亭氢能项目投产</w:t>
      </w:r>
    </w:p>
    <w:p>
      <w:r>
        <w:t>原文链接: https://news.bjx.com.cn/html/20250910/1460272.shtml</w:t>
      </w:r>
    </w:p>
    <w:p>
      <w:r>
        <w:t>发布日期: 2025-09-10</w:t>
      </w:r>
    </w:p>
    <w:p>
      <w:r>
        <w:t>内容:</w:t>
      </w:r>
    </w:p>
    <w:p>
      <w:r>
        <w:t>北极星氢能网获悉：2025 年9月8日，旭阳集团乐亭园区 5000Nm³/h 氢能项目一次开车成功并全线贯通投产，首车纯度达 99.999% 的高纯氢产品完成装车发售。​</w:t>
        <w:br/>
        <w:t>该项目是旭阳集团在乐亭园区规划的每天 10 吨产能规模氢能项目及配套充装站的重要组成部分，核心是对唐山旭阳化工有限公司苯乙烯装置副产脱氢尾气（满足苯加氢工段用氢后仍富余约 7000Nm³/h）进行提纯，生产符合车用燃料标准的高纯氢，且分离后解析气会作为燃料回用至原系统，实现能源高附加值梯级利用与闭环管理。作为延链、补链、强链工程，其不仅拓展唐山旭阳苯乙烯产线、新增乐亭园区高纯氢产品，助力旭阳氢能业务规模扩张与市场占有率提升，巩固其头部企业地位，还将带动区域氢能产业协同发展，填补京津冀及周边氢气市场需求空缺，为园区产业绿色升级、业绩增长注入新动能，同时为行业二氧化碳减排与能源结构优化贡献力量。​</w:t>
        <w:br/>
        <w:t>据悉，中国旭阳集团创立于 1995 年，总部位于北京、中国香港，深耕煤化工领域 30 年，依托纵向一体化业务模式布局 “制 - 储 - 运 - 加 - 用 + 研” 氢能项目。该集团 2019 年在香港联交所主板上市，入选多类指数成分股，是深港通、沪港通交易标的。据弗若斯特沙利文 2024 年行业报告，其是全球最大独立焦炭生产商及供应商、全球最大焦化粗苯加工商等，亦是中国第二大高纯氢供应商（按产量计）。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