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法国液化空气集团在华绿色甲醇项目获备案</w:t>
      </w:r>
    </w:p>
    <w:p>
      <w:r>
        <w:t>原文链接: https://news.bjx.com.cn/html/20250915/1460966.shtml</w:t>
      </w:r>
    </w:p>
    <w:p>
      <w:r>
        <w:t>发布日期: 2025-09-15</w:t>
      </w:r>
    </w:p>
    <w:p>
      <w:r>
        <w:t>内容:</w:t>
      </w:r>
    </w:p>
    <w:p>
      <w:r>
        <w:t>北极星氢能网获悉：2025年9月11日，液化空气（青岛）第二有限公司法液空绿色甲醇及空分生产基地项目获备案，标志着法国液化空气集团在华首个绿色甲醇项目取得重大进展。该项目由青岛西海岸新区招商中心引进，在 2024 年 8 月 28 日跨国公司领导人青岛峰会期间签约，规划年产 30 万吨生物质甲醇。​</w:t>
        <w:br/>
        <w:t>项目主要利用秸秆等生物质资源生产绿色甲醇，产品将通过海运面向国内港口重点城市及全球市场。其建成后，对助力青岛西海岸新区实现碳达峰、碳中和目标具有重要意义，经济社会效益显著。​</w:t>
        <w:br/>
        <w:t>法国液化空气集团，简称法液空，1902 年成立，总部位于法国巴黎，作为全球工业和医用气体及相关服务的领先供应商，业务覆盖 65 个国家。在绿色甲醇技术方面，法液空优势明显，其在催化剂研发和应用上表现突出，可提高二氧化碳转化率及甲醇选择性；先进的低压法合成塔技术，能在较低压力下实现较高甲醇收率。同时，法液空在可再生能源的获取、转化、利用，以及高效碳捕集技术方面经验丰富，能低成本、高效率捕获二氧化碳用于甲醇合成。​</w:t>
        <w:br/>
        <w:t>值得一提的是，法液空在中国还有其他绿色甲醇项目正在推进。2025 年 1 月 23 日，其与盐城市大丰港经济开发区、黄海金控集团、国能生物、美锦能源签约，在江苏省盐城市共同建设生物质制沼气绿色甲醇项目，该项目规划年产绿色沼气 1.8 亿方、绿色甲醇 12 万吨。随着这些项目的逐步落地，法液空将为中国的能源转型和可持续发展注入新动力。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