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湖北交投集团氢能科技未来中心备案获得批复</w:t>
      </w:r>
    </w:p>
    <w:p>
      <w:r>
        <w:t>原文链接: https://news.bjx.com.cn/html/20250915/1460982.shtml</w:t>
      </w:r>
    </w:p>
    <w:p>
      <w:r>
        <w:t>发布日期: 2025-09-15</w:t>
      </w:r>
    </w:p>
    <w:p>
      <w:r>
        <w:t>内容:</w:t>
      </w:r>
    </w:p>
    <w:p>
      <w:r>
        <w:t>北极星氢能网获悉，9月12日，湖北政务服务网相关信息显示，湖北交投集团旗下的氢能科技未来中心备案获得批复。该项目定位于国家 “双碳” 战略核心支点以及长江经济带氢能走廊枢纽，未来将打造成为集技术研发、智能制造、场景示范、氢能上下游产业孵化、氢能车辆检测、碳资产运营于一体的氢能科技产业综合产业园。​</w:t>
        <w:br/>
        <w:t>项目总投资高达 30 亿元，用地规模 200 亩。规划打造场景示范与测试基地，同步建设网络货运平台、智慧氢能运营平台以及高端氢能装备制造设施。这一系列举措将有力推动氢能产业在湖北的规模化、专业化发展，促进氢能在交通、能源等多领域的广泛应用。​</w:t>
        <w:br/>
        <w:t>项目单位为湖北楚道氢能科技产业发展有限公司。该公司于 6 月 29 日正式注册成立，注册资本 1 亿元，由湖北交通投资集团主导，联合楚天高速、武汉临空港产业创新发展公司等共同设立。项目拟开工时间为 2025 年 12 月，后续建设备受期待。​</w:t>
        <w:br/>
        <w:t>近年来，湖北交投集团在氢能产业方面积极布局。此前已联合产业链伙伴成功打造湖北首条氢能源示范线 —— 汉宜高速，并在全国率先实现氢能重卡规模化常态运行，为此次氢能科技未来中心项目的推进积累了丰富经验。此次备案获批，标志着湖北在氢能产业发展上又迈出重要一步，有望进一步推动湖北省抢占全国氢能产业制高点，构建绿色能源产业生态，助力 “双碳” 目标的实现。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